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3D014CAA" w:rsidR="00CE3959" w:rsidRDefault="00BE71E4" w:rsidP="00934D57">
      <w:pPr>
        <w:spacing w:after="0" w:line="216" w:lineRule="auto"/>
        <w:ind w:left="2655" w:right="5" w:hanging="2654"/>
        <w:jc w:val="center"/>
      </w:pPr>
      <w:r>
        <w:rPr>
          <w:b/>
          <w:sz w:val="44"/>
        </w:rPr>
        <w:t>Blue Sky Utility 2017 II LLC</w:t>
      </w:r>
      <w:r w:rsidR="00AE1ACC">
        <w:rPr>
          <w:b/>
          <w:sz w:val="44"/>
        </w:rPr>
        <w:t xml:space="preserve"> (</w:t>
      </w:r>
      <w:proofErr w:type="spellStart"/>
      <w:r w:rsidR="0019576D">
        <w:rPr>
          <w:b/>
          <w:sz w:val="44"/>
        </w:rPr>
        <w:t>Passco</w:t>
      </w:r>
      <w:proofErr w:type="spellEnd"/>
      <w:r w:rsidR="0019576D">
        <w:rPr>
          <w:b/>
          <w:sz w:val="44"/>
        </w:rPr>
        <w:t xml:space="preserve"> Hanford Mall</w:t>
      </w:r>
      <w:r w:rsidR="00AE1ACC">
        <w:rPr>
          <w:b/>
          <w:sz w:val="44"/>
        </w:rPr>
        <w:t>)</w:t>
      </w:r>
    </w:p>
    <w:p w14:paraId="60595C53" w14:textId="77777777" w:rsidR="00CE3959" w:rsidRDefault="00C57C89">
      <w:pPr>
        <w:spacing w:after="139" w:line="259" w:lineRule="auto"/>
        <w:ind w:left="1" w:firstLine="0"/>
        <w:jc w:val="left"/>
      </w:pPr>
      <w:r>
        <w:t xml:space="preserve"> </w:t>
      </w:r>
    </w:p>
    <w:p w14:paraId="5F37CFFD" w14:textId="42FE3D66" w:rsidR="00CE3959" w:rsidRDefault="00C57C89">
      <w:pPr>
        <w:tabs>
          <w:tab w:val="center" w:pos="4676"/>
        </w:tabs>
        <w:spacing w:after="68" w:line="259" w:lineRule="auto"/>
        <w:ind w:left="-14" w:firstLine="0"/>
        <w:jc w:val="left"/>
      </w:pPr>
      <w:r>
        <w:rPr>
          <w:sz w:val="34"/>
          <w:vertAlign w:val="subscript"/>
        </w:rPr>
        <w:t xml:space="preserve"> </w:t>
      </w:r>
      <w:r>
        <w:rPr>
          <w:sz w:val="34"/>
          <w:vertAlign w:val="subscript"/>
        </w:rPr>
        <w:tab/>
      </w:r>
      <w:r>
        <w:rPr>
          <w:b/>
        </w:rPr>
        <w:t>Quarterly Report- Q</w:t>
      </w:r>
      <w:r w:rsidR="006F0D74">
        <w:rPr>
          <w:b/>
        </w:rPr>
        <w:t>2</w:t>
      </w:r>
      <w:r>
        <w:rPr>
          <w:b/>
        </w:rPr>
        <w:t xml:space="preserve"> 201</w:t>
      </w:r>
      <w:r w:rsidR="00197B4C">
        <w:rPr>
          <w:b/>
        </w:rPr>
        <w:t>8</w:t>
      </w:r>
      <w:r>
        <w:rPr>
          <w:b/>
        </w:rPr>
        <w:t xml:space="preserve"> </w:t>
      </w:r>
    </w:p>
    <w:p w14:paraId="7B331611" w14:textId="2E6D5DFD" w:rsidR="00CE3959" w:rsidRDefault="00C57C89">
      <w:pPr>
        <w:tabs>
          <w:tab w:val="center" w:pos="4675"/>
        </w:tabs>
        <w:spacing w:after="68" w:line="259" w:lineRule="auto"/>
        <w:ind w:left="-14" w:firstLine="0"/>
        <w:jc w:val="left"/>
      </w:pPr>
      <w:r>
        <w:rPr>
          <w:sz w:val="34"/>
          <w:vertAlign w:val="subscript"/>
        </w:rPr>
        <w:t xml:space="preserve"> </w:t>
      </w:r>
      <w:r>
        <w:rPr>
          <w:sz w:val="34"/>
          <w:vertAlign w:val="subscript"/>
        </w:rPr>
        <w:tab/>
      </w:r>
      <w:r w:rsidR="006F0D74">
        <w:rPr>
          <w:b/>
        </w:rPr>
        <w:t>4/1/2018 – 6/30/2018</w:t>
      </w:r>
      <w:r>
        <w:rPr>
          <w:b/>
        </w:rPr>
        <w:t xml:space="preserve"> </w:t>
      </w:r>
    </w:p>
    <w:p w14:paraId="71E27F5C" w14:textId="77777777" w:rsidR="00CE3959" w:rsidRDefault="00C57C89">
      <w:pPr>
        <w:spacing w:after="302" w:line="259" w:lineRule="auto"/>
        <w:ind w:left="1" w:firstLine="0"/>
        <w:jc w:val="left"/>
      </w:pPr>
      <w:r>
        <w:t xml:space="preserve"> </w:t>
      </w:r>
    </w:p>
    <w:p w14:paraId="193CEFEC" w14:textId="75E6E82D" w:rsidR="00CE3959" w:rsidRDefault="00C57C89" w:rsidP="00696B0E">
      <w:pPr>
        <w:spacing w:after="259" w:line="240" w:lineRule="auto"/>
        <w:ind w:left="1" w:right="2" w:firstLine="0"/>
        <w:rPr>
          <w:i/>
          <w:sz w:val="24"/>
        </w:rPr>
      </w:pPr>
      <w:r>
        <w:rPr>
          <w:i/>
          <w:sz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w:t>
      </w:r>
      <w:r w:rsidR="00922FA8">
        <w:rPr>
          <w:i/>
          <w:sz w:val="24"/>
        </w:rPr>
        <w:t>Blue Sky Utility 2017 II LLC</w:t>
      </w:r>
      <w:r>
        <w:rPr>
          <w:i/>
          <w:sz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747F0D89" w14:textId="72084620" w:rsidR="00CE3959" w:rsidRDefault="00C57C89">
      <w:pPr>
        <w:ind w:left="-4"/>
      </w:pPr>
      <w:r>
        <w:t>In Q</w:t>
      </w:r>
      <w:r w:rsidR="00CA7CF4">
        <w:t>2</w:t>
      </w:r>
      <w:r>
        <w:t xml:space="preserve"> 201</w:t>
      </w:r>
      <w:r w:rsidR="009042C1">
        <w:t>8</w:t>
      </w:r>
      <w:r>
        <w:t xml:space="preserve">, the portfolio performed </w:t>
      </w:r>
      <w:r w:rsidR="00330542">
        <w:t>16.73</w:t>
      </w:r>
      <w:r>
        <w:t xml:space="preserve">% </w:t>
      </w:r>
      <w:r w:rsidR="001F066C">
        <w:t>below</w:t>
      </w:r>
      <w:r>
        <w:t xml:space="preserve"> the predicted production for the quarter.  </w:t>
      </w:r>
    </w:p>
    <w:tbl>
      <w:tblPr>
        <w:tblStyle w:val="TableGrid"/>
        <w:tblpPr w:leftFromText="180" w:rightFromText="180" w:vertAnchor="text" w:horzAnchor="margin" w:tblpXSpec="center" w:tblpY="661"/>
        <w:tblW w:w="11335" w:type="dxa"/>
        <w:tblInd w:w="0" w:type="dxa"/>
        <w:tblLayout w:type="fixed"/>
        <w:tblCellMar>
          <w:top w:w="47" w:type="dxa"/>
          <w:left w:w="107" w:type="dxa"/>
          <w:right w:w="50" w:type="dxa"/>
        </w:tblCellMar>
        <w:tblLook w:val="04A0" w:firstRow="1" w:lastRow="0" w:firstColumn="1" w:lastColumn="0" w:noHBand="0" w:noVBand="1"/>
      </w:tblPr>
      <w:tblGrid>
        <w:gridCol w:w="1080"/>
        <w:gridCol w:w="1165"/>
        <w:gridCol w:w="1260"/>
        <w:gridCol w:w="1265"/>
        <w:gridCol w:w="1345"/>
        <w:gridCol w:w="1175"/>
        <w:gridCol w:w="1345"/>
        <w:gridCol w:w="1350"/>
        <w:gridCol w:w="1350"/>
      </w:tblGrid>
      <w:tr w:rsidR="00213698" w14:paraId="32B2F43D" w14:textId="77777777" w:rsidTr="00330542">
        <w:trPr>
          <w:trHeight w:val="332"/>
        </w:trPr>
        <w:tc>
          <w:tcPr>
            <w:tcW w:w="1080" w:type="dxa"/>
            <w:tcBorders>
              <w:top w:val="nil"/>
              <w:left w:val="single" w:sz="4" w:space="0" w:color="FFFFFF"/>
              <w:bottom w:val="single" w:sz="4" w:space="0" w:color="FFFFFF"/>
              <w:right w:val="single" w:sz="4" w:space="0" w:color="FFFFFF"/>
            </w:tcBorders>
            <w:shd w:val="clear" w:color="auto" w:fill="4471C4"/>
          </w:tcPr>
          <w:p w14:paraId="75D81D98" w14:textId="77777777" w:rsidR="00213698" w:rsidRDefault="00213698" w:rsidP="00213698">
            <w:pPr>
              <w:spacing w:after="160" w:line="259" w:lineRule="auto"/>
              <w:ind w:left="0" w:firstLine="0"/>
              <w:jc w:val="left"/>
            </w:pPr>
          </w:p>
        </w:tc>
        <w:tc>
          <w:tcPr>
            <w:tcW w:w="1165" w:type="dxa"/>
            <w:tcBorders>
              <w:top w:val="nil"/>
              <w:left w:val="single" w:sz="4" w:space="0" w:color="FFFFFF"/>
              <w:bottom w:val="single" w:sz="4" w:space="0" w:color="FFFFFF"/>
              <w:right w:val="single" w:sz="4" w:space="0" w:color="FFFFFF"/>
            </w:tcBorders>
            <w:shd w:val="clear" w:color="auto" w:fill="4472C4" w:themeFill="accent1"/>
          </w:tcPr>
          <w:p w14:paraId="7EF4366B" w14:textId="77777777" w:rsidR="00213698" w:rsidRPr="00E4761D" w:rsidRDefault="00213698" w:rsidP="00213698">
            <w:pPr>
              <w:spacing w:after="0" w:line="240" w:lineRule="auto"/>
              <w:ind w:left="0" w:firstLine="0"/>
              <w:jc w:val="center"/>
              <w:rPr>
                <w:rFonts w:eastAsia="Times New Roman"/>
                <w:b/>
                <w:bCs/>
                <w:color w:val="FFFFFF" w:themeColor="background1"/>
              </w:rPr>
            </w:pPr>
            <w:r w:rsidRPr="00E4761D">
              <w:rPr>
                <w:b/>
                <w:bCs/>
                <w:color w:val="FFFFFF" w:themeColor="background1"/>
              </w:rPr>
              <w:t xml:space="preserve">Simulation </w:t>
            </w:r>
            <w:proofErr w:type="spellStart"/>
            <w:r w:rsidRPr="00E4761D">
              <w:rPr>
                <w:b/>
                <w:bCs/>
                <w:color w:val="FFFFFF" w:themeColor="background1"/>
              </w:rPr>
              <w:t>PVSyst</w:t>
            </w:r>
            <w:proofErr w:type="spellEnd"/>
          </w:p>
          <w:p w14:paraId="79D89DC7" w14:textId="77777777" w:rsidR="00213698" w:rsidRPr="00E4761D" w:rsidRDefault="00213698" w:rsidP="00213698">
            <w:pPr>
              <w:spacing w:after="0" w:line="259" w:lineRule="auto"/>
              <w:ind w:left="0" w:right="53" w:firstLine="0"/>
              <w:jc w:val="center"/>
              <w:rPr>
                <w:color w:val="FFFFFF" w:themeColor="background1"/>
              </w:rPr>
            </w:pPr>
          </w:p>
        </w:tc>
        <w:tc>
          <w:tcPr>
            <w:tcW w:w="1260" w:type="dxa"/>
            <w:tcBorders>
              <w:top w:val="nil"/>
              <w:left w:val="single" w:sz="4" w:space="0" w:color="FFFFFF"/>
              <w:bottom w:val="single" w:sz="4" w:space="0" w:color="FFFFFF"/>
              <w:right w:val="single" w:sz="4" w:space="0" w:color="FFFFFF"/>
            </w:tcBorders>
            <w:shd w:val="clear" w:color="auto" w:fill="4472C4" w:themeFill="accent1"/>
          </w:tcPr>
          <w:p w14:paraId="0629E5B0" w14:textId="77777777" w:rsidR="00213698" w:rsidRPr="00E4761D" w:rsidRDefault="00213698" w:rsidP="00213698">
            <w:pPr>
              <w:spacing w:after="0" w:line="240" w:lineRule="auto"/>
              <w:ind w:left="0" w:firstLine="0"/>
              <w:jc w:val="center"/>
              <w:rPr>
                <w:rFonts w:eastAsia="Times New Roman"/>
                <w:b/>
                <w:bCs/>
                <w:color w:val="FFFFFF" w:themeColor="background1"/>
              </w:rPr>
            </w:pPr>
            <w:r w:rsidRPr="00E4761D">
              <w:rPr>
                <w:b/>
                <w:bCs/>
                <w:color w:val="FFFFFF" w:themeColor="background1"/>
              </w:rPr>
              <w:t>Production Meter</w:t>
            </w:r>
          </w:p>
          <w:p w14:paraId="105D574C" w14:textId="77777777" w:rsidR="00213698" w:rsidRPr="00E4761D" w:rsidRDefault="00213698" w:rsidP="00213698">
            <w:pPr>
              <w:spacing w:after="0" w:line="259" w:lineRule="auto"/>
              <w:ind w:left="0" w:right="53" w:firstLine="0"/>
              <w:jc w:val="center"/>
              <w:rPr>
                <w:b/>
                <w:color w:val="FFFFFF" w:themeColor="background1"/>
              </w:rPr>
            </w:pPr>
          </w:p>
        </w:tc>
        <w:tc>
          <w:tcPr>
            <w:tcW w:w="1265" w:type="dxa"/>
            <w:tcBorders>
              <w:top w:val="nil"/>
              <w:left w:val="single" w:sz="4" w:space="0" w:color="FFFFFF"/>
              <w:bottom w:val="single" w:sz="4" w:space="0" w:color="FFFFFF"/>
              <w:right w:val="single" w:sz="4" w:space="0" w:color="FFFFFF"/>
            </w:tcBorders>
            <w:shd w:val="clear" w:color="auto" w:fill="4472C4" w:themeFill="accent1"/>
          </w:tcPr>
          <w:p w14:paraId="67EAC796" w14:textId="77777777" w:rsidR="00213698" w:rsidRPr="00E4761D" w:rsidRDefault="00213698" w:rsidP="00213698">
            <w:pPr>
              <w:spacing w:after="0" w:line="240" w:lineRule="auto"/>
              <w:ind w:left="0" w:firstLine="0"/>
              <w:jc w:val="center"/>
              <w:rPr>
                <w:rFonts w:eastAsia="Times New Roman"/>
                <w:b/>
                <w:bCs/>
                <w:color w:val="FFFFFF" w:themeColor="background1"/>
              </w:rPr>
            </w:pPr>
            <w:r w:rsidRPr="00E4761D">
              <w:rPr>
                <w:b/>
                <w:bCs/>
                <w:color w:val="FFFFFF" w:themeColor="background1"/>
              </w:rPr>
              <w:t>Production Variance</w:t>
            </w:r>
          </w:p>
          <w:p w14:paraId="34F7C28C" w14:textId="77777777" w:rsidR="00213698" w:rsidRPr="00E4761D" w:rsidRDefault="00213698" w:rsidP="00213698">
            <w:pPr>
              <w:spacing w:after="0" w:line="259" w:lineRule="auto"/>
              <w:ind w:left="0" w:right="53" w:firstLine="0"/>
              <w:jc w:val="center"/>
              <w:rPr>
                <w:b/>
                <w:color w:val="FFFFFF" w:themeColor="background1"/>
              </w:rPr>
            </w:pPr>
          </w:p>
        </w:tc>
        <w:tc>
          <w:tcPr>
            <w:tcW w:w="1345" w:type="dxa"/>
            <w:tcBorders>
              <w:top w:val="nil"/>
              <w:left w:val="single" w:sz="4" w:space="0" w:color="FFFFFF"/>
              <w:bottom w:val="single" w:sz="4" w:space="0" w:color="FFFFFF"/>
              <w:right w:val="single" w:sz="4" w:space="0" w:color="FFFFFF"/>
            </w:tcBorders>
            <w:shd w:val="clear" w:color="auto" w:fill="4472C4" w:themeFill="accent1"/>
          </w:tcPr>
          <w:p w14:paraId="1FEF54C5" w14:textId="2988EBB0" w:rsidR="00213698" w:rsidRPr="00E4761D" w:rsidRDefault="00213698" w:rsidP="00213698">
            <w:pPr>
              <w:spacing w:after="0" w:line="259" w:lineRule="auto"/>
              <w:ind w:left="0" w:right="53" w:firstLine="0"/>
              <w:jc w:val="center"/>
              <w:rPr>
                <w:b/>
                <w:color w:val="FFFFFF" w:themeColor="background1"/>
              </w:rPr>
            </w:pPr>
            <w:r w:rsidRPr="00E4761D">
              <w:rPr>
                <w:b/>
                <w:color w:val="FFFFFF" w:themeColor="background1"/>
              </w:rPr>
              <w:t>Invoiced</w:t>
            </w:r>
            <w:r>
              <w:rPr>
                <w:b/>
                <w:color w:val="FFFFFF" w:themeColor="background1"/>
              </w:rPr>
              <w:t xml:space="preserve"> </w:t>
            </w:r>
          </w:p>
        </w:tc>
        <w:tc>
          <w:tcPr>
            <w:tcW w:w="1175" w:type="dxa"/>
            <w:tcBorders>
              <w:top w:val="nil"/>
              <w:left w:val="single" w:sz="4" w:space="0" w:color="FFFFFF"/>
              <w:bottom w:val="single" w:sz="4" w:space="0" w:color="FFFFFF"/>
              <w:right w:val="single" w:sz="4" w:space="0" w:color="FFFFFF"/>
            </w:tcBorders>
            <w:shd w:val="clear" w:color="auto" w:fill="4472C4" w:themeFill="accent1"/>
          </w:tcPr>
          <w:p w14:paraId="3B93D039" w14:textId="77777777" w:rsidR="00213698" w:rsidRPr="00E4761D" w:rsidRDefault="00213698" w:rsidP="00213698">
            <w:pPr>
              <w:spacing w:after="0" w:line="259" w:lineRule="auto"/>
              <w:ind w:left="0" w:right="53" w:firstLine="0"/>
              <w:jc w:val="center"/>
              <w:rPr>
                <w:b/>
                <w:color w:val="FFFFFF" w:themeColor="background1"/>
              </w:rPr>
            </w:pPr>
            <w:r w:rsidRPr="00E4761D">
              <w:rPr>
                <w:b/>
                <w:color w:val="FFFFFF" w:themeColor="background1"/>
              </w:rPr>
              <w:t>Accrued Credits*</w:t>
            </w:r>
          </w:p>
        </w:tc>
        <w:tc>
          <w:tcPr>
            <w:tcW w:w="1345" w:type="dxa"/>
            <w:tcBorders>
              <w:top w:val="nil"/>
              <w:left w:val="single" w:sz="4" w:space="0" w:color="FFFFFF"/>
              <w:bottom w:val="single" w:sz="4" w:space="0" w:color="FFFFFF"/>
              <w:right w:val="single" w:sz="4" w:space="0" w:color="FFFFFF"/>
            </w:tcBorders>
            <w:shd w:val="clear" w:color="auto" w:fill="4472C4" w:themeFill="accent1"/>
          </w:tcPr>
          <w:p w14:paraId="30A7FF90" w14:textId="77777777" w:rsidR="00213698" w:rsidRDefault="00213698" w:rsidP="00213698">
            <w:pPr>
              <w:spacing w:after="0" w:line="259" w:lineRule="auto"/>
              <w:ind w:left="0" w:right="53" w:firstLine="0"/>
              <w:jc w:val="center"/>
              <w:rPr>
                <w:b/>
                <w:color w:val="FFFFFF" w:themeColor="background1"/>
              </w:rPr>
            </w:pPr>
            <w:r w:rsidRPr="00E4761D">
              <w:rPr>
                <w:b/>
                <w:color w:val="FFFFFF" w:themeColor="background1"/>
              </w:rPr>
              <w:t>Value Created</w:t>
            </w:r>
          </w:p>
          <w:p w14:paraId="3803FD85" w14:textId="4E5384D5" w:rsidR="00213698" w:rsidRPr="00E4761D" w:rsidRDefault="00213698" w:rsidP="00213698">
            <w:pPr>
              <w:spacing w:after="0" w:line="259" w:lineRule="auto"/>
              <w:ind w:left="0" w:right="53" w:firstLine="0"/>
              <w:jc w:val="center"/>
              <w:rPr>
                <w:b/>
                <w:color w:val="FFFFFF" w:themeColor="background1"/>
              </w:rPr>
            </w:pPr>
            <w:r>
              <w:rPr>
                <w:b/>
                <w:color w:val="FFFFFF" w:themeColor="background1"/>
              </w:rPr>
              <w:t>**</w:t>
            </w: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0C21B8BA" w14:textId="14F2D840" w:rsidR="00213698" w:rsidRPr="00E4761D" w:rsidRDefault="00213698" w:rsidP="00213698">
            <w:pPr>
              <w:spacing w:after="0" w:line="259" w:lineRule="auto"/>
              <w:ind w:left="0" w:right="53" w:firstLine="0"/>
              <w:jc w:val="center"/>
              <w:rPr>
                <w:b/>
                <w:color w:val="FFFFFF" w:themeColor="background1"/>
              </w:rPr>
            </w:pPr>
            <w:r w:rsidRPr="00E4761D">
              <w:rPr>
                <w:b/>
                <w:color w:val="FFFFFF" w:themeColor="background1"/>
              </w:rPr>
              <w:t>Projected Revenue</w:t>
            </w:r>
            <w:r>
              <w:rPr>
                <w:b/>
                <w:color w:val="FFFFFF" w:themeColor="background1"/>
              </w:rPr>
              <w:t xml:space="preserve"> </w:t>
            </w: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04B87025" w14:textId="77777777" w:rsidR="00213698" w:rsidRPr="00E4761D" w:rsidRDefault="00213698" w:rsidP="00213698">
            <w:pPr>
              <w:spacing w:after="0" w:line="259" w:lineRule="auto"/>
              <w:ind w:left="0" w:right="53" w:firstLine="0"/>
              <w:jc w:val="center"/>
              <w:rPr>
                <w:b/>
                <w:color w:val="FFFFFF" w:themeColor="background1"/>
              </w:rPr>
            </w:pPr>
            <w:r w:rsidRPr="00E4761D">
              <w:rPr>
                <w:b/>
                <w:color w:val="FFFFFF" w:themeColor="background1"/>
              </w:rPr>
              <w:t>Revenue Variance</w:t>
            </w:r>
          </w:p>
        </w:tc>
      </w:tr>
      <w:tr w:rsidR="00213698" w14:paraId="49629AF9" w14:textId="77777777" w:rsidTr="00330542">
        <w:trPr>
          <w:trHeight w:val="310"/>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165095DD" w14:textId="77777777" w:rsidR="00213698" w:rsidRDefault="00213698" w:rsidP="00213698">
            <w:pPr>
              <w:spacing w:after="0" w:line="259" w:lineRule="auto"/>
              <w:ind w:left="0" w:firstLine="0"/>
            </w:pPr>
            <w:r>
              <w:rPr>
                <w:b/>
                <w:color w:val="FFFFFF"/>
              </w:rPr>
              <w:t>Month</w:t>
            </w:r>
          </w:p>
        </w:tc>
        <w:tc>
          <w:tcPr>
            <w:tcW w:w="1165" w:type="dxa"/>
            <w:tcBorders>
              <w:top w:val="single" w:sz="4" w:space="0" w:color="FFFFFF"/>
              <w:left w:val="single" w:sz="4" w:space="0" w:color="FFFFFF"/>
              <w:bottom w:val="single" w:sz="4" w:space="0" w:color="FFFFFF"/>
              <w:right w:val="single" w:sz="4" w:space="0" w:color="FFFFFF"/>
            </w:tcBorders>
            <w:shd w:val="clear" w:color="auto" w:fill="D9E1F3"/>
          </w:tcPr>
          <w:p w14:paraId="2C9200A0" w14:textId="77777777" w:rsidR="00213698" w:rsidRDefault="00213698" w:rsidP="00213698">
            <w:pPr>
              <w:spacing w:after="0" w:line="259" w:lineRule="auto"/>
              <w:ind w:left="0" w:right="54" w:firstLine="0"/>
              <w:jc w:val="center"/>
            </w:pPr>
            <w:r>
              <w:t>kWh</w:t>
            </w:r>
          </w:p>
        </w:tc>
        <w:tc>
          <w:tcPr>
            <w:tcW w:w="1260" w:type="dxa"/>
            <w:tcBorders>
              <w:top w:val="single" w:sz="4" w:space="0" w:color="FFFFFF"/>
              <w:left w:val="single" w:sz="4" w:space="0" w:color="FFFFFF"/>
              <w:bottom w:val="single" w:sz="4" w:space="0" w:color="FFFFFF"/>
              <w:right w:val="single" w:sz="4" w:space="0" w:color="FFFFFF"/>
            </w:tcBorders>
            <w:shd w:val="clear" w:color="auto" w:fill="D9E1F3"/>
          </w:tcPr>
          <w:p w14:paraId="782EBC95" w14:textId="77777777" w:rsidR="00213698" w:rsidRDefault="00213698" w:rsidP="00213698">
            <w:pPr>
              <w:spacing w:after="0" w:line="259" w:lineRule="auto"/>
              <w:ind w:left="0" w:right="54" w:firstLine="0"/>
              <w:jc w:val="center"/>
            </w:pPr>
            <w:r>
              <w:t>kWh</w:t>
            </w:r>
          </w:p>
        </w:tc>
        <w:tc>
          <w:tcPr>
            <w:tcW w:w="1265" w:type="dxa"/>
            <w:tcBorders>
              <w:top w:val="single" w:sz="4" w:space="0" w:color="FFFFFF"/>
              <w:left w:val="single" w:sz="4" w:space="0" w:color="FFFFFF"/>
              <w:bottom w:val="single" w:sz="4" w:space="0" w:color="FFFFFF"/>
              <w:right w:val="single" w:sz="4" w:space="0" w:color="FFFFFF"/>
            </w:tcBorders>
            <w:shd w:val="clear" w:color="auto" w:fill="D9E1F3"/>
          </w:tcPr>
          <w:p w14:paraId="3405A4C1" w14:textId="77777777" w:rsidR="00213698" w:rsidRDefault="00213698" w:rsidP="00213698">
            <w:pPr>
              <w:spacing w:after="0" w:line="259" w:lineRule="auto"/>
              <w:ind w:left="0" w:right="54" w:firstLine="0"/>
              <w:jc w:val="center"/>
            </w:pPr>
            <w:r>
              <w:t>kWh</w:t>
            </w:r>
          </w:p>
        </w:tc>
        <w:tc>
          <w:tcPr>
            <w:tcW w:w="1345" w:type="dxa"/>
            <w:tcBorders>
              <w:top w:val="single" w:sz="4" w:space="0" w:color="FFFFFF"/>
              <w:left w:val="single" w:sz="4" w:space="0" w:color="FFFFFF"/>
              <w:bottom w:val="single" w:sz="4" w:space="0" w:color="FFFFFF"/>
              <w:right w:val="single" w:sz="4" w:space="0" w:color="FFFFFF"/>
            </w:tcBorders>
            <w:shd w:val="clear" w:color="auto" w:fill="D9E1F3"/>
          </w:tcPr>
          <w:p w14:paraId="578E4712" w14:textId="77777777" w:rsidR="00213698" w:rsidRDefault="00213698" w:rsidP="00213698">
            <w:pPr>
              <w:spacing w:after="0" w:line="259" w:lineRule="auto"/>
              <w:ind w:left="0" w:right="54" w:firstLine="0"/>
              <w:jc w:val="center"/>
            </w:pPr>
            <w:r>
              <w:t>$</w:t>
            </w:r>
          </w:p>
        </w:tc>
        <w:tc>
          <w:tcPr>
            <w:tcW w:w="1175" w:type="dxa"/>
            <w:tcBorders>
              <w:top w:val="single" w:sz="4" w:space="0" w:color="FFFFFF"/>
              <w:left w:val="single" w:sz="4" w:space="0" w:color="FFFFFF"/>
              <w:bottom w:val="single" w:sz="4" w:space="0" w:color="FFFFFF"/>
              <w:right w:val="single" w:sz="4" w:space="0" w:color="FFFFFF"/>
            </w:tcBorders>
            <w:shd w:val="clear" w:color="auto" w:fill="D9E1F3"/>
          </w:tcPr>
          <w:p w14:paraId="084957E8" w14:textId="77777777" w:rsidR="00213698" w:rsidRDefault="00213698" w:rsidP="00213698">
            <w:pPr>
              <w:spacing w:after="0" w:line="259" w:lineRule="auto"/>
              <w:ind w:left="0" w:right="54" w:firstLine="0"/>
              <w:jc w:val="center"/>
            </w:pPr>
            <w:r>
              <w:t>$</w:t>
            </w:r>
          </w:p>
        </w:tc>
        <w:tc>
          <w:tcPr>
            <w:tcW w:w="1345" w:type="dxa"/>
            <w:tcBorders>
              <w:top w:val="single" w:sz="4" w:space="0" w:color="FFFFFF"/>
              <w:left w:val="single" w:sz="4" w:space="0" w:color="FFFFFF"/>
              <w:bottom w:val="single" w:sz="4" w:space="0" w:color="FFFFFF"/>
              <w:right w:val="single" w:sz="4" w:space="0" w:color="FFFFFF"/>
            </w:tcBorders>
            <w:shd w:val="clear" w:color="auto" w:fill="D9E1F3"/>
          </w:tcPr>
          <w:p w14:paraId="00BE1502" w14:textId="77777777" w:rsidR="00213698" w:rsidRDefault="00213698" w:rsidP="00213698">
            <w:pPr>
              <w:spacing w:after="0" w:line="259" w:lineRule="auto"/>
              <w:ind w:left="0" w:right="54" w:firstLine="0"/>
              <w:jc w:val="center"/>
            </w:pPr>
            <w:r>
              <w:t>$</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1738AA45" w14:textId="77777777" w:rsidR="00213698" w:rsidRDefault="00213698" w:rsidP="00213698">
            <w:pPr>
              <w:spacing w:after="0" w:line="259" w:lineRule="auto"/>
              <w:ind w:left="0" w:right="54" w:firstLine="0"/>
              <w:jc w:val="center"/>
            </w:pPr>
            <w:r>
              <w:t>$</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73E8E9EA" w14:textId="77777777" w:rsidR="00213698" w:rsidRDefault="00213698" w:rsidP="00213698">
            <w:pPr>
              <w:spacing w:after="0" w:line="259" w:lineRule="auto"/>
              <w:ind w:left="0" w:right="54" w:firstLine="0"/>
              <w:jc w:val="center"/>
            </w:pPr>
            <w:r>
              <w:t>$</w:t>
            </w:r>
          </w:p>
        </w:tc>
      </w:tr>
      <w:tr w:rsidR="00213698" w14:paraId="1A82E087" w14:textId="77777777" w:rsidTr="00330542">
        <w:trPr>
          <w:trHeight w:val="294"/>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66E02656" w14:textId="77777777" w:rsidR="00213698" w:rsidRDefault="00213698" w:rsidP="00213698">
            <w:pPr>
              <w:spacing w:after="0" w:line="259" w:lineRule="auto"/>
              <w:ind w:left="65" w:firstLine="0"/>
              <w:jc w:val="left"/>
              <w:rPr>
                <w:b/>
                <w:color w:val="FFFFFF"/>
              </w:rPr>
            </w:pPr>
          </w:p>
          <w:p w14:paraId="402B8FF4" w14:textId="77777777" w:rsidR="00213698" w:rsidRDefault="00213698" w:rsidP="00213698">
            <w:pPr>
              <w:spacing w:after="0" w:line="259" w:lineRule="auto"/>
              <w:jc w:val="left"/>
            </w:pPr>
            <w:r>
              <w:rPr>
                <w:b/>
                <w:color w:val="FFFFFF"/>
              </w:rPr>
              <w:t xml:space="preserve">18-Apr </w:t>
            </w:r>
          </w:p>
        </w:tc>
        <w:tc>
          <w:tcPr>
            <w:tcW w:w="1165" w:type="dxa"/>
            <w:tcBorders>
              <w:top w:val="single" w:sz="4" w:space="0" w:color="FFFFFF"/>
              <w:left w:val="single" w:sz="4" w:space="0" w:color="FFFFFF"/>
              <w:bottom w:val="single" w:sz="4" w:space="0" w:color="FFFFFF"/>
              <w:right w:val="single" w:sz="4" w:space="0" w:color="FFFFFF"/>
            </w:tcBorders>
            <w:shd w:val="clear" w:color="auto" w:fill="B4C5E7"/>
          </w:tcPr>
          <w:p w14:paraId="623E4DE5" w14:textId="77777777" w:rsidR="00213698" w:rsidRDefault="00213698" w:rsidP="00213698">
            <w:pPr>
              <w:spacing w:after="0" w:line="240" w:lineRule="auto"/>
              <w:ind w:left="40" w:firstLine="0"/>
              <w:jc w:val="center"/>
            </w:pPr>
          </w:p>
          <w:p w14:paraId="0B3F2442" w14:textId="77777777" w:rsidR="00213698" w:rsidRPr="00DC757C" w:rsidRDefault="00213698" w:rsidP="00213698">
            <w:r>
              <w:t xml:space="preserve">   304,532</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105EB831" w14:textId="77777777" w:rsidR="00213698" w:rsidRDefault="00213698" w:rsidP="00213698">
            <w:pPr>
              <w:spacing w:after="0" w:line="240" w:lineRule="auto"/>
              <w:ind w:left="0" w:firstLine="0"/>
              <w:jc w:val="center"/>
            </w:pPr>
          </w:p>
          <w:p w14:paraId="1CCCFCD4" w14:textId="25086A15" w:rsidR="00213698" w:rsidRPr="00DC757C" w:rsidRDefault="00213698" w:rsidP="00213698">
            <w:pPr>
              <w:jc w:val="center"/>
            </w:pPr>
            <w:r>
              <w:t>252,8</w:t>
            </w:r>
            <w:r w:rsidR="005467DA">
              <w:t>79</w:t>
            </w:r>
          </w:p>
        </w:tc>
        <w:tc>
          <w:tcPr>
            <w:tcW w:w="1265" w:type="dxa"/>
            <w:tcBorders>
              <w:top w:val="single" w:sz="4" w:space="0" w:color="FFFFFF"/>
              <w:left w:val="single" w:sz="4" w:space="0" w:color="FFFFFF"/>
              <w:bottom w:val="single" w:sz="4" w:space="0" w:color="FFFFFF"/>
              <w:right w:val="single" w:sz="4" w:space="0" w:color="FFFFFF"/>
            </w:tcBorders>
            <w:shd w:val="clear" w:color="auto" w:fill="B4C5E7"/>
          </w:tcPr>
          <w:p w14:paraId="7F0C205C" w14:textId="77777777" w:rsidR="00213698" w:rsidRDefault="00213698" w:rsidP="00213698">
            <w:pPr>
              <w:spacing w:after="0" w:line="240" w:lineRule="auto"/>
              <w:ind w:left="0" w:firstLine="0"/>
              <w:jc w:val="center"/>
            </w:pPr>
          </w:p>
          <w:p w14:paraId="0F427757" w14:textId="42AB50B2" w:rsidR="00213698" w:rsidRPr="00DC757C" w:rsidRDefault="00213698" w:rsidP="00213698">
            <w:r>
              <w:t xml:space="preserve">   - 51,65</w:t>
            </w:r>
            <w:r w:rsidR="005467DA">
              <w:t>3</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03E8F949" w14:textId="77777777" w:rsidR="00213698" w:rsidRDefault="00213698" w:rsidP="00213698">
            <w:pPr>
              <w:spacing w:after="0" w:line="240" w:lineRule="auto"/>
              <w:ind w:left="0" w:firstLine="0"/>
              <w:jc w:val="center"/>
            </w:pPr>
          </w:p>
          <w:p w14:paraId="1BB00D3C" w14:textId="77777777" w:rsidR="00213698" w:rsidRPr="00752B7C" w:rsidRDefault="00213698" w:rsidP="00213698">
            <w:pPr>
              <w:spacing w:after="0" w:line="240" w:lineRule="auto"/>
              <w:ind w:left="0" w:firstLine="0"/>
              <w:jc w:val="center"/>
            </w:pPr>
            <w:r>
              <w:t>$40,407.37</w:t>
            </w:r>
          </w:p>
          <w:p w14:paraId="4BF8749D" w14:textId="77777777" w:rsidR="00213698" w:rsidRDefault="00213698" w:rsidP="00213698">
            <w:pPr>
              <w:spacing w:after="0" w:line="240" w:lineRule="auto"/>
              <w:ind w:left="0" w:firstLine="0"/>
              <w:jc w:val="center"/>
            </w:pPr>
          </w:p>
        </w:tc>
        <w:tc>
          <w:tcPr>
            <w:tcW w:w="1175" w:type="dxa"/>
            <w:tcBorders>
              <w:top w:val="single" w:sz="4" w:space="0" w:color="FFFFFF"/>
              <w:left w:val="single" w:sz="4" w:space="0" w:color="FFFFFF"/>
              <w:bottom w:val="single" w:sz="4" w:space="0" w:color="FFFFFF"/>
              <w:right w:val="single" w:sz="4" w:space="0" w:color="FFFFFF"/>
            </w:tcBorders>
            <w:shd w:val="clear" w:color="auto" w:fill="B4C5E7"/>
          </w:tcPr>
          <w:p w14:paraId="159E7F42" w14:textId="77777777" w:rsidR="00213698" w:rsidRDefault="00213698" w:rsidP="00213698">
            <w:pPr>
              <w:spacing w:after="0" w:line="240" w:lineRule="auto"/>
              <w:ind w:left="40" w:firstLine="0"/>
              <w:jc w:val="center"/>
            </w:pPr>
          </w:p>
          <w:p w14:paraId="7C84C0BE" w14:textId="77777777" w:rsidR="00213698" w:rsidRDefault="00213698" w:rsidP="00213698">
            <w:pPr>
              <w:spacing w:after="0" w:line="240" w:lineRule="auto"/>
              <w:ind w:left="0" w:firstLine="0"/>
              <w:jc w:val="center"/>
            </w:pPr>
            <w:r>
              <w:t>$16,535.60</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0BE33AF4" w14:textId="77777777" w:rsidR="00213698" w:rsidRDefault="00213698" w:rsidP="00213698">
            <w:pPr>
              <w:spacing w:after="0" w:line="240" w:lineRule="auto"/>
              <w:ind w:left="0" w:firstLine="0"/>
              <w:jc w:val="center"/>
            </w:pPr>
          </w:p>
          <w:p w14:paraId="275954EB" w14:textId="77777777" w:rsidR="00213698" w:rsidRPr="00752B7C" w:rsidRDefault="00213698" w:rsidP="00213698">
            <w:pPr>
              <w:spacing w:after="0" w:line="240" w:lineRule="auto"/>
              <w:ind w:left="0" w:firstLine="0"/>
              <w:jc w:val="center"/>
            </w:pPr>
            <w:r>
              <w:t>$56,942.97</w:t>
            </w:r>
          </w:p>
          <w:p w14:paraId="291B90A4"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2188B22E" w14:textId="77777777" w:rsidR="00213698" w:rsidRDefault="00213698" w:rsidP="00213698">
            <w:pPr>
              <w:spacing w:after="0" w:line="240" w:lineRule="auto"/>
              <w:ind w:left="0" w:firstLine="0"/>
              <w:jc w:val="center"/>
            </w:pPr>
          </w:p>
          <w:p w14:paraId="142856F2" w14:textId="56DAECEB" w:rsidR="00213698" w:rsidRDefault="00213698" w:rsidP="00213698">
            <w:pPr>
              <w:spacing w:after="0" w:line="240" w:lineRule="auto"/>
              <w:ind w:left="0" w:firstLine="0"/>
              <w:jc w:val="center"/>
              <w:rPr>
                <w:rFonts w:eastAsia="Times New Roman"/>
              </w:rPr>
            </w:pPr>
            <w:r>
              <w:t>$</w:t>
            </w:r>
            <w:r w:rsidR="00975785">
              <w:t>32,866.12</w:t>
            </w:r>
          </w:p>
          <w:p w14:paraId="6A9C3949"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064E8847" w14:textId="77777777" w:rsidR="00213698" w:rsidRDefault="00213698" w:rsidP="00213698">
            <w:pPr>
              <w:spacing w:after="0" w:line="240" w:lineRule="auto"/>
              <w:ind w:left="0" w:firstLine="0"/>
              <w:jc w:val="center"/>
            </w:pPr>
          </w:p>
          <w:p w14:paraId="0DCECEB5" w14:textId="66C72873" w:rsidR="00213698" w:rsidRDefault="00213698" w:rsidP="00213698">
            <w:pPr>
              <w:spacing w:after="0" w:line="240" w:lineRule="auto"/>
              <w:ind w:left="0" w:firstLine="0"/>
              <w:jc w:val="center"/>
              <w:rPr>
                <w:rFonts w:eastAsia="Times New Roman"/>
              </w:rPr>
            </w:pPr>
            <w:r>
              <w:t>+$</w:t>
            </w:r>
            <w:r w:rsidR="00B878A9">
              <w:t>24,056.85</w:t>
            </w:r>
            <w:r>
              <w:t xml:space="preserve"> </w:t>
            </w:r>
          </w:p>
          <w:p w14:paraId="51DCB119" w14:textId="77777777" w:rsidR="00213698" w:rsidRDefault="00213698" w:rsidP="00213698">
            <w:pPr>
              <w:spacing w:after="0" w:line="240" w:lineRule="auto"/>
              <w:ind w:left="40" w:firstLine="0"/>
              <w:jc w:val="center"/>
            </w:pPr>
          </w:p>
        </w:tc>
      </w:tr>
      <w:tr w:rsidR="00213698" w14:paraId="39111776" w14:textId="77777777" w:rsidTr="00330542">
        <w:trPr>
          <w:trHeight w:val="294"/>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29EC69B8" w14:textId="77777777" w:rsidR="00213698" w:rsidRDefault="00213698" w:rsidP="00213698">
            <w:pPr>
              <w:spacing w:after="0" w:line="259" w:lineRule="auto"/>
              <w:ind w:left="65" w:firstLine="0"/>
              <w:jc w:val="left"/>
              <w:rPr>
                <w:b/>
                <w:color w:val="FFFFFF"/>
              </w:rPr>
            </w:pPr>
          </w:p>
          <w:p w14:paraId="6DA0870A" w14:textId="77777777" w:rsidR="00213698" w:rsidRDefault="00213698" w:rsidP="00213698">
            <w:pPr>
              <w:spacing w:after="0" w:line="259" w:lineRule="auto"/>
              <w:ind w:left="65" w:firstLine="0"/>
              <w:jc w:val="left"/>
              <w:rPr>
                <w:b/>
                <w:color w:val="FFFFFF"/>
              </w:rPr>
            </w:pPr>
            <w:r>
              <w:rPr>
                <w:b/>
                <w:color w:val="FFFFFF"/>
              </w:rPr>
              <w:t xml:space="preserve">18-May </w:t>
            </w:r>
          </w:p>
        </w:tc>
        <w:tc>
          <w:tcPr>
            <w:tcW w:w="1165" w:type="dxa"/>
            <w:tcBorders>
              <w:top w:val="single" w:sz="4" w:space="0" w:color="FFFFFF"/>
              <w:left w:val="single" w:sz="4" w:space="0" w:color="FFFFFF"/>
              <w:bottom w:val="single" w:sz="4" w:space="0" w:color="FFFFFF"/>
              <w:right w:val="single" w:sz="4" w:space="0" w:color="FFFFFF"/>
            </w:tcBorders>
            <w:shd w:val="clear" w:color="auto" w:fill="B4C5E7"/>
          </w:tcPr>
          <w:p w14:paraId="42698A9C" w14:textId="77777777" w:rsidR="00213698" w:rsidRDefault="00213698" w:rsidP="00213698">
            <w:pPr>
              <w:spacing w:after="0" w:line="240" w:lineRule="auto"/>
              <w:ind w:left="40" w:firstLine="0"/>
              <w:jc w:val="center"/>
            </w:pPr>
          </w:p>
          <w:p w14:paraId="65F765CD" w14:textId="77777777" w:rsidR="00213698" w:rsidRPr="00DC757C" w:rsidRDefault="00213698" w:rsidP="00213698">
            <w:r>
              <w:t xml:space="preserve">  311,160</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5F094F39" w14:textId="77777777" w:rsidR="00213698" w:rsidRDefault="00213698" w:rsidP="00213698">
            <w:pPr>
              <w:spacing w:after="0" w:line="240" w:lineRule="auto"/>
              <w:ind w:left="0" w:firstLine="0"/>
              <w:jc w:val="center"/>
            </w:pPr>
          </w:p>
          <w:p w14:paraId="0331312D" w14:textId="01A46D94" w:rsidR="00213698" w:rsidRPr="00DC757C" w:rsidRDefault="005467DA" w:rsidP="00213698">
            <w:pPr>
              <w:jc w:val="center"/>
            </w:pPr>
            <w:r>
              <w:t>277,</w:t>
            </w:r>
            <w:r w:rsidR="00135618">
              <w:t>763</w:t>
            </w:r>
          </w:p>
        </w:tc>
        <w:tc>
          <w:tcPr>
            <w:tcW w:w="1265" w:type="dxa"/>
            <w:tcBorders>
              <w:top w:val="single" w:sz="4" w:space="0" w:color="FFFFFF"/>
              <w:left w:val="single" w:sz="4" w:space="0" w:color="FFFFFF"/>
              <w:bottom w:val="single" w:sz="4" w:space="0" w:color="FFFFFF"/>
              <w:right w:val="single" w:sz="4" w:space="0" w:color="FFFFFF"/>
            </w:tcBorders>
            <w:shd w:val="clear" w:color="auto" w:fill="B4C5E7"/>
          </w:tcPr>
          <w:p w14:paraId="11383B4E" w14:textId="77777777" w:rsidR="00213698" w:rsidRDefault="00213698" w:rsidP="00213698">
            <w:pPr>
              <w:spacing w:after="0" w:line="240" w:lineRule="auto"/>
              <w:ind w:left="0" w:firstLine="0"/>
              <w:jc w:val="center"/>
            </w:pPr>
          </w:p>
          <w:p w14:paraId="3547DC68" w14:textId="78CC22C7" w:rsidR="00213698" w:rsidRPr="00DC757C" w:rsidRDefault="00213698" w:rsidP="00213698">
            <w:r>
              <w:t xml:space="preserve">    -</w:t>
            </w:r>
            <w:r w:rsidR="00135618">
              <w:t>33,397</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20DF4DB0" w14:textId="77777777" w:rsidR="00213698" w:rsidRDefault="00213698" w:rsidP="00213698">
            <w:pPr>
              <w:spacing w:after="0" w:line="240" w:lineRule="auto"/>
              <w:ind w:left="0" w:firstLine="0"/>
              <w:jc w:val="center"/>
            </w:pPr>
          </w:p>
          <w:p w14:paraId="31B40C7D" w14:textId="77777777" w:rsidR="00213698" w:rsidRPr="00752B7C" w:rsidRDefault="00213698" w:rsidP="00213698">
            <w:pPr>
              <w:spacing w:after="0" w:line="240" w:lineRule="auto"/>
              <w:ind w:left="0" w:firstLine="0"/>
              <w:jc w:val="center"/>
            </w:pPr>
            <w:r>
              <w:t>$39,176.15</w:t>
            </w:r>
          </w:p>
          <w:p w14:paraId="634FF00C" w14:textId="77777777" w:rsidR="00213698" w:rsidRDefault="00213698" w:rsidP="00213698">
            <w:pPr>
              <w:spacing w:after="0" w:line="240" w:lineRule="auto"/>
              <w:ind w:left="0" w:firstLine="0"/>
              <w:jc w:val="center"/>
            </w:pPr>
          </w:p>
        </w:tc>
        <w:tc>
          <w:tcPr>
            <w:tcW w:w="1175" w:type="dxa"/>
            <w:tcBorders>
              <w:top w:val="single" w:sz="4" w:space="0" w:color="FFFFFF"/>
              <w:left w:val="single" w:sz="4" w:space="0" w:color="FFFFFF"/>
              <w:bottom w:val="single" w:sz="4" w:space="0" w:color="FFFFFF"/>
              <w:right w:val="single" w:sz="4" w:space="0" w:color="FFFFFF"/>
            </w:tcBorders>
            <w:shd w:val="clear" w:color="auto" w:fill="B4C5E7"/>
          </w:tcPr>
          <w:p w14:paraId="0CB8F7FF" w14:textId="77777777" w:rsidR="00213698" w:rsidRDefault="00213698" w:rsidP="00213698">
            <w:pPr>
              <w:spacing w:after="0" w:line="240" w:lineRule="auto"/>
              <w:ind w:left="40" w:firstLine="0"/>
              <w:jc w:val="center"/>
            </w:pPr>
          </w:p>
          <w:p w14:paraId="2F0E99E0" w14:textId="77777777" w:rsidR="00213698" w:rsidRDefault="00213698" w:rsidP="00213698">
            <w:pPr>
              <w:spacing w:after="0" w:line="240" w:lineRule="auto"/>
              <w:ind w:left="0" w:firstLine="0"/>
              <w:jc w:val="center"/>
            </w:pPr>
            <w:r>
              <w:t>$18,165.22</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5E31EE9B" w14:textId="77777777" w:rsidR="00213698" w:rsidRDefault="00213698" w:rsidP="00213698">
            <w:pPr>
              <w:spacing w:after="0" w:line="240" w:lineRule="auto"/>
              <w:ind w:left="0" w:firstLine="0"/>
              <w:jc w:val="center"/>
            </w:pPr>
          </w:p>
          <w:p w14:paraId="3C9B8E0B" w14:textId="77777777" w:rsidR="00213698" w:rsidRPr="00752B7C" w:rsidRDefault="00213698" w:rsidP="00213698">
            <w:pPr>
              <w:spacing w:after="0" w:line="240" w:lineRule="auto"/>
              <w:ind w:left="0" w:firstLine="0"/>
              <w:jc w:val="center"/>
            </w:pPr>
            <w:r>
              <w:t>$57,341.37</w:t>
            </w:r>
          </w:p>
          <w:p w14:paraId="36A51EC1"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77999505" w14:textId="77777777" w:rsidR="00213698" w:rsidRDefault="00213698" w:rsidP="00213698">
            <w:pPr>
              <w:spacing w:after="0" w:line="240" w:lineRule="auto"/>
              <w:ind w:left="0" w:firstLine="0"/>
              <w:jc w:val="center"/>
            </w:pPr>
          </w:p>
          <w:p w14:paraId="59F6E8E3" w14:textId="7D0887BB" w:rsidR="00213698" w:rsidRDefault="00213698" w:rsidP="00213698">
            <w:pPr>
              <w:spacing w:after="0" w:line="240" w:lineRule="auto"/>
              <w:ind w:left="0" w:firstLine="0"/>
              <w:jc w:val="center"/>
              <w:rPr>
                <w:rFonts w:eastAsia="Times New Roman"/>
              </w:rPr>
            </w:pPr>
            <w:r>
              <w:t>$</w:t>
            </w:r>
            <w:r w:rsidR="00975785">
              <w:t>75,021.46</w:t>
            </w:r>
            <w:r>
              <w:t xml:space="preserve"> </w:t>
            </w:r>
          </w:p>
          <w:p w14:paraId="705120E8"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73685951" w14:textId="77777777" w:rsidR="00213698" w:rsidRDefault="00213698" w:rsidP="00213698">
            <w:pPr>
              <w:spacing w:after="0" w:line="240" w:lineRule="auto"/>
              <w:ind w:left="0" w:firstLine="0"/>
              <w:jc w:val="center"/>
            </w:pPr>
          </w:p>
          <w:p w14:paraId="05376E24" w14:textId="04723308" w:rsidR="00213698" w:rsidRDefault="00B878A9" w:rsidP="00213698">
            <w:pPr>
              <w:spacing w:after="0" w:line="240" w:lineRule="auto"/>
              <w:ind w:left="0" w:firstLine="0"/>
              <w:jc w:val="center"/>
              <w:rPr>
                <w:rFonts w:eastAsia="Times New Roman"/>
              </w:rPr>
            </w:pPr>
            <w:r>
              <w:t>-</w:t>
            </w:r>
            <w:r w:rsidR="005D65AE">
              <w:t>$</w:t>
            </w:r>
            <w:bookmarkStart w:id="0" w:name="_GoBack"/>
            <w:bookmarkEnd w:id="0"/>
            <w:r>
              <w:t>17,680.09</w:t>
            </w:r>
          </w:p>
          <w:p w14:paraId="3A891C57" w14:textId="77777777" w:rsidR="00213698" w:rsidRDefault="00213698" w:rsidP="00213698">
            <w:pPr>
              <w:spacing w:after="0" w:line="240" w:lineRule="auto"/>
              <w:ind w:left="40" w:firstLine="0"/>
              <w:jc w:val="center"/>
            </w:pPr>
          </w:p>
        </w:tc>
      </w:tr>
      <w:tr w:rsidR="00213698" w14:paraId="4A77A7BF" w14:textId="77777777" w:rsidTr="00330542">
        <w:trPr>
          <w:trHeight w:val="294"/>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5FBDEC3F" w14:textId="77777777" w:rsidR="00213698" w:rsidRDefault="00213698" w:rsidP="00213698">
            <w:pPr>
              <w:spacing w:after="0" w:line="259" w:lineRule="auto"/>
              <w:ind w:left="65" w:firstLine="0"/>
              <w:jc w:val="left"/>
              <w:rPr>
                <w:b/>
                <w:color w:val="FFFFFF"/>
              </w:rPr>
            </w:pPr>
          </w:p>
          <w:p w14:paraId="141D19B0" w14:textId="77777777" w:rsidR="00213698" w:rsidRDefault="00213698" w:rsidP="00213698">
            <w:pPr>
              <w:spacing w:after="0" w:line="259" w:lineRule="auto"/>
              <w:ind w:left="0" w:firstLine="0"/>
              <w:jc w:val="left"/>
              <w:rPr>
                <w:b/>
                <w:color w:val="FFFFFF"/>
              </w:rPr>
            </w:pPr>
            <w:r>
              <w:rPr>
                <w:b/>
                <w:color w:val="FFFFFF"/>
              </w:rPr>
              <w:t>18-Jun</w:t>
            </w:r>
          </w:p>
        </w:tc>
        <w:tc>
          <w:tcPr>
            <w:tcW w:w="1165" w:type="dxa"/>
            <w:tcBorders>
              <w:top w:val="single" w:sz="4" w:space="0" w:color="FFFFFF"/>
              <w:left w:val="single" w:sz="4" w:space="0" w:color="FFFFFF"/>
              <w:bottom w:val="single" w:sz="4" w:space="0" w:color="FFFFFF"/>
              <w:right w:val="single" w:sz="4" w:space="0" w:color="FFFFFF"/>
            </w:tcBorders>
            <w:shd w:val="clear" w:color="auto" w:fill="B4C5E7"/>
          </w:tcPr>
          <w:p w14:paraId="3B6F1E86" w14:textId="77777777" w:rsidR="00213698" w:rsidRDefault="00213698" w:rsidP="00213698">
            <w:pPr>
              <w:spacing w:after="0" w:line="240" w:lineRule="auto"/>
              <w:ind w:left="40" w:firstLine="0"/>
              <w:jc w:val="center"/>
            </w:pPr>
          </w:p>
          <w:p w14:paraId="30F2CD40" w14:textId="77777777" w:rsidR="00213698" w:rsidRPr="00DC757C" w:rsidRDefault="00213698" w:rsidP="00213698">
            <w:r>
              <w:t xml:space="preserve">  335,400</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6DB8F088" w14:textId="77777777" w:rsidR="00213698" w:rsidRDefault="00213698" w:rsidP="00213698">
            <w:pPr>
              <w:spacing w:after="0" w:line="240" w:lineRule="auto"/>
              <w:ind w:left="0" w:firstLine="0"/>
              <w:jc w:val="center"/>
            </w:pPr>
          </w:p>
          <w:p w14:paraId="6AF07AE7" w14:textId="00A08C5C" w:rsidR="00213698" w:rsidRPr="00DC757C" w:rsidRDefault="00135618" w:rsidP="00213698">
            <w:pPr>
              <w:jc w:val="center"/>
            </w:pPr>
            <w:r>
              <w:t>262,169</w:t>
            </w:r>
          </w:p>
        </w:tc>
        <w:tc>
          <w:tcPr>
            <w:tcW w:w="1265" w:type="dxa"/>
            <w:tcBorders>
              <w:top w:val="single" w:sz="4" w:space="0" w:color="FFFFFF"/>
              <w:left w:val="single" w:sz="4" w:space="0" w:color="FFFFFF"/>
              <w:bottom w:val="single" w:sz="4" w:space="0" w:color="FFFFFF"/>
              <w:right w:val="single" w:sz="4" w:space="0" w:color="FFFFFF"/>
            </w:tcBorders>
            <w:shd w:val="clear" w:color="auto" w:fill="B4C5E7"/>
          </w:tcPr>
          <w:p w14:paraId="26A7E688" w14:textId="77777777" w:rsidR="00213698" w:rsidRDefault="00213698" w:rsidP="00213698">
            <w:pPr>
              <w:spacing w:after="0" w:line="240" w:lineRule="auto"/>
              <w:ind w:left="0" w:firstLine="0"/>
              <w:jc w:val="center"/>
            </w:pPr>
          </w:p>
          <w:p w14:paraId="1243B791" w14:textId="756960BA" w:rsidR="00213698" w:rsidRPr="00DC757C" w:rsidRDefault="00213698" w:rsidP="00213698">
            <w:r>
              <w:t xml:space="preserve">   -</w:t>
            </w:r>
            <w:r w:rsidR="00135618">
              <w:t>73,231</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4AE5E614" w14:textId="77777777" w:rsidR="00213698" w:rsidRDefault="00213698" w:rsidP="00213698">
            <w:pPr>
              <w:spacing w:after="0" w:line="240" w:lineRule="auto"/>
              <w:ind w:left="0" w:firstLine="0"/>
              <w:jc w:val="center"/>
            </w:pPr>
          </w:p>
          <w:p w14:paraId="70B87424" w14:textId="77777777" w:rsidR="00213698" w:rsidRPr="00752B7C" w:rsidRDefault="00213698" w:rsidP="00213698">
            <w:pPr>
              <w:spacing w:after="0" w:line="240" w:lineRule="auto"/>
              <w:ind w:left="0" w:firstLine="0"/>
              <w:jc w:val="center"/>
            </w:pPr>
            <w:r>
              <w:t>$49,931.75</w:t>
            </w:r>
          </w:p>
          <w:p w14:paraId="6F4C71FA" w14:textId="77777777" w:rsidR="00213698" w:rsidRDefault="00213698" w:rsidP="00213698">
            <w:pPr>
              <w:spacing w:after="0" w:line="240" w:lineRule="auto"/>
              <w:ind w:left="0" w:firstLine="0"/>
              <w:jc w:val="center"/>
            </w:pPr>
          </w:p>
        </w:tc>
        <w:tc>
          <w:tcPr>
            <w:tcW w:w="1175" w:type="dxa"/>
            <w:tcBorders>
              <w:top w:val="single" w:sz="4" w:space="0" w:color="FFFFFF"/>
              <w:left w:val="single" w:sz="4" w:space="0" w:color="FFFFFF"/>
              <w:bottom w:val="single" w:sz="4" w:space="0" w:color="FFFFFF"/>
              <w:right w:val="single" w:sz="4" w:space="0" w:color="FFFFFF"/>
            </w:tcBorders>
            <w:shd w:val="clear" w:color="auto" w:fill="B4C5E7"/>
          </w:tcPr>
          <w:p w14:paraId="62BD690C" w14:textId="77777777" w:rsidR="00213698" w:rsidRDefault="00213698" w:rsidP="00213698">
            <w:pPr>
              <w:spacing w:after="0" w:line="240" w:lineRule="auto"/>
              <w:ind w:left="40" w:firstLine="0"/>
              <w:jc w:val="center"/>
            </w:pPr>
          </w:p>
          <w:p w14:paraId="1773DA7D" w14:textId="77777777" w:rsidR="00213698" w:rsidRDefault="00213698" w:rsidP="00213698">
            <w:pPr>
              <w:spacing w:after="0" w:line="240" w:lineRule="auto"/>
              <w:ind w:left="0" w:firstLine="0"/>
              <w:jc w:val="center"/>
            </w:pPr>
            <w:r>
              <w:t>$18,928.76</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52919AD1" w14:textId="77777777" w:rsidR="00213698" w:rsidRDefault="00213698" w:rsidP="00213698">
            <w:pPr>
              <w:spacing w:after="0" w:line="240" w:lineRule="auto"/>
              <w:ind w:left="0" w:firstLine="0"/>
              <w:jc w:val="center"/>
            </w:pPr>
          </w:p>
          <w:p w14:paraId="36ED209D" w14:textId="77777777" w:rsidR="00213698" w:rsidRPr="00752B7C" w:rsidRDefault="00213698" w:rsidP="00213698">
            <w:pPr>
              <w:spacing w:after="0" w:line="240" w:lineRule="auto"/>
              <w:ind w:left="0" w:firstLine="0"/>
              <w:jc w:val="center"/>
            </w:pPr>
            <w:r>
              <w:t>$68,860.51</w:t>
            </w:r>
          </w:p>
          <w:p w14:paraId="4208F4F6"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6CAA579B" w14:textId="77777777" w:rsidR="00213698" w:rsidRDefault="00213698" w:rsidP="00213698">
            <w:pPr>
              <w:spacing w:after="0" w:line="240" w:lineRule="auto"/>
              <w:ind w:left="0" w:firstLine="0"/>
              <w:jc w:val="center"/>
            </w:pPr>
          </w:p>
          <w:p w14:paraId="5DEFD822" w14:textId="710D669D" w:rsidR="00213698" w:rsidRDefault="00213698" w:rsidP="00213698">
            <w:pPr>
              <w:spacing w:after="0" w:line="240" w:lineRule="auto"/>
              <w:ind w:left="0" w:firstLine="0"/>
              <w:jc w:val="center"/>
              <w:rPr>
                <w:rFonts w:eastAsia="Times New Roman"/>
              </w:rPr>
            </w:pPr>
            <w:r>
              <w:t>$</w:t>
            </w:r>
            <w:r w:rsidR="00975785">
              <w:t>74,535.47</w:t>
            </w:r>
            <w:r>
              <w:t xml:space="preserve"> </w:t>
            </w:r>
          </w:p>
          <w:p w14:paraId="55436FE2"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172821A6" w14:textId="77777777" w:rsidR="00213698" w:rsidRDefault="00213698" w:rsidP="00213698">
            <w:pPr>
              <w:spacing w:after="0" w:line="240" w:lineRule="auto"/>
              <w:ind w:left="0" w:firstLine="0"/>
              <w:jc w:val="center"/>
            </w:pPr>
          </w:p>
          <w:p w14:paraId="799F8A09" w14:textId="07DA64CD" w:rsidR="00213698" w:rsidRDefault="00B878A9" w:rsidP="00213698">
            <w:pPr>
              <w:spacing w:after="0" w:line="240" w:lineRule="auto"/>
              <w:ind w:left="0" w:firstLine="0"/>
              <w:jc w:val="center"/>
              <w:rPr>
                <w:rFonts w:eastAsia="Times New Roman"/>
              </w:rPr>
            </w:pPr>
            <w:r>
              <w:t>-$5,674.96</w:t>
            </w:r>
          </w:p>
          <w:p w14:paraId="787F65F7" w14:textId="77777777" w:rsidR="00213698" w:rsidRDefault="00213698" w:rsidP="00213698">
            <w:pPr>
              <w:spacing w:after="0" w:line="240" w:lineRule="auto"/>
              <w:ind w:left="40" w:firstLine="0"/>
              <w:jc w:val="center"/>
            </w:pPr>
          </w:p>
        </w:tc>
      </w:tr>
      <w:tr w:rsidR="00213698" w14:paraId="1D6D329A" w14:textId="77777777" w:rsidTr="00330542">
        <w:trPr>
          <w:trHeight w:val="936"/>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6B6B1D54" w14:textId="77777777" w:rsidR="00213698" w:rsidRDefault="00213698" w:rsidP="00213698">
            <w:pPr>
              <w:spacing w:after="0" w:line="259" w:lineRule="auto"/>
              <w:jc w:val="left"/>
              <w:rPr>
                <w:b/>
                <w:color w:val="FFFFFF"/>
              </w:rPr>
            </w:pPr>
            <w:r>
              <w:rPr>
                <w:b/>
                <w:color w:val="FFFFFF"/>
              </w:rPr>
              <w:t xml:space="preserve"> </w:t>
            </w:r>
          </w:p>
          <w:p w14:paraId="075122A5" w14:textId="77777777" w:rsidR="00213698" w:rsidRDefault="00213698" w:rsidP="00213698">
            <w:pPr>
              <w:spacing w:after="0" w:line="259" w:lineRule="auto"/>
              <w:jc w:val="left"/>
              <w:rPr>
                <w:b/>
                <w:color w:val="FFFFFF"/>
              </w:rPr>
            </w:pPr>
            <w:r>
              <w:rPr>
                <w:b/>
                <w:color w:val="FFFFFF"/>
              </w:rPr>
              <w:t>Q</w:t>
            </w:r>
            <w:proofErr w:type="gramStart"/>
            <w:r>
              <w:rPr>
                <w:b/>
                <w:color w:val="FFFFFF"/>
              </w:rPr>
              <w:t>2  Total</w:t>
            </w:r>
            <w:proofErr w:type="gramEnd"/>
            <w:r>
              <w:rPr>
                <w:b/>
                <w:color w:val="FFFFFF"/>
              </w:rPr>
              <w:t xml:space="preserve"> </w:t>
            </w:r>
          </w:p>
        </w:tc>
        <w:tc>
          <w:tcPr>
            <w:tcW w:w="1165" w:type="dxa"/>
            <w:tcBorders>
              <w:top w:val="single" w:sz="4" w:space="0" w:color="FFFFFF"/>
              <w:left w:val="single" w:sz="4" w:space="0" w:color="FFFFFF"/>
              <w:bottom w:val="single" w:sz="4" w:space="0" w:color="FFFFFF"/>
              <w:right w:val="single" w:sz="4" w:space="0" w:color="FFFFFF"/>
            </w:tcBorders>
            <w:shd w:val="clear" w:color="auto" w:fill="B4C5E7"/>
          </w:tcPr>
          <w:p w14:paraId="4EAAC29F" w14:textId="77777777" w:rsidR="00213698" w:rsidRDefault="00213698" w:rsidP="00213698">
            <w:pPr>
              <w:spacing w:after="0" w:line="240" w:lineRule="auto"/>
              <w:ind w:left="0" w:firstLine="0"/>
              <w:jc w:val="center"/>
            </w:pPr>
          </w:p>
          <w:p w14:paraId="07F92DD3" w14:textId="77777777" w:rsidR="00213698" w:rsidRPr="00DC757C" w:rsidRDefault="00213698" w:rsidP="00213698">
            <w:r>
              <w:t xml:space="preserve">  951,092</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7D5FA5E1" w14:textId="77777777" w:rsidR="00213698" w:rsidRDefault="00213698" w:rsidP="00213698">
            <w:pPr>
              <w:spacing w:after="0" w:line="240" w:lineRule="auto"/>
              <w:ind w:left="40" w:firstLine="0"/>
              <w:jc w:val="center"/>
            </w:pPr>
          </w:p>
          <w:p w14:paraId="596BABB6" w14:textId="261F5971" w:rsidR="00213698" w:rsidRPr="00DC757C" w:rsidRDefault="00213698" w:rsidP="00213698">
            <w:pPr>
              <w:jc w:val="center"/>
            </w:pPr>
            <w:r>
              <w:t>79</w:t>
            </w:r>
            <w:r w:rsidR="00135618">
              <w:t>2,811</w:t>
            </w:r>
          </w:p>
        </w:tc>
        <w:tc>
          <w:tcPr>
            <w:tcW w:w="1265" w:type="dxa"/>
            <w:tcBorders>
              <w:top w:val="single" w:sz="4" w:space="0" w:color="FFFFFF"/>
              <w:left w:val="single" w:sz="4" w:space="0" w:color="FFFFFF"/>
              <w:bottom w:val="single" w:sz="4" w:space="0" w:color="FFFFFF"/>
              <w:right w:val="single" w:sz="4" w:space="0" w:color="FFFFFF"/>
            </w:tcBorders>
            <w:shd w:val="clear" w:color="auto" w:fill="B4C5E7"/>
          </w:tcPr>
          <w:p w14:paraId="12A75271" w14:textId="77777777" w:rsidR="00213698" w:rsidRDefault="00213698" w:rsidP="00213698">
            <w:pPr>
              <w:spacing w:after="0" w:line="240" w:lineRule="auto"/>
              <w:ind w:left="0" w:firstLine="0"/>
              <w:jc w:val="center"/>
            </w:pPr>
          </w:p>
          <w:p w14:paraId="38126D0D" w14:textId="440B25B8" w:rsidR="00213698" w:rsidRPr="00DC757C" w:rsidRDefault="00213698" w:rsidP="00213698">
            <w:r>
              <w:t xml:space="preserve">   -</w:t>
            </w:r>
            <w:r w:rsidR="00135618">
              <w:t>158,281</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35EE67CF" w14:textId="77777777" w:rsidR="00213698" w:rsidRDefault="00213698" w:rsidP="00213698">
            <w:pPr>
              <w:spacing w:after="0" w:line="240" w:lineRule="auto"/>
              <w:ind w:left="0" w:firstLine="0"/>
              <w:jc w:val="center"/>
            </w:pPr>
          </w:p>
          <w:p w14:paraId="1611531C" w14:textId="77777777" w:rsidR="00213698" w:rsidRDefault="00213698" w:rsidP="00213698">
            <w:pPr>
              <w:spacing w:after="0" w:line="240" w:lineRule="auto"/>
              <w:ind w:left="0" w:firstLine="0"/>
              <w:jc w:val="center"/>
              <w:rPr>
                <w:rFonts w:eastAsia="Times New Roman"/>
              </w:rPr>
            </w:pPr>
            <w:r>
              <w:t xml:space="preserve">$129,515.27 </w:t>
            </w:r>
          </w:p>
          <w:p w14:paraId="31AE03A8" w14:textId="77777777" w:rsidR="00213698" w:rsidRDefault="00213698" w:rsidP="00213698">
            <w:pPr>
              <w:spacing w:after="0" w:line="240" w:lineRule="auto"/>
              <w:ind w:left="0" w:firstLine="0"/>
              <w:jc w:val="center"/>
            </w:pPr>
          </w:p>
        </w:tc>
        <w:tc>
          <w:tcPr>
            <w:tcW w:w="1175" w:type="dxa"/>
            <w:tcBorders>
              <w:top w:val="single" w:sz="4" w:space="0" w:color="FFFFFF"/>
              <w:left w:val="single" w:sz="4" w:space="0" w:color="FFFFFF"/>
              <w:bottom w:val="single" w:sz="4" w:space="0" w:color="FFFFFF"/>
              <w:right w:val="single" w:sz="4" w:space="0" w:color="FFFFFF"/>
            </w:tcBorders>
            <w:shd w:val="clear" w:color="auto" w:fill="B4C5E7"/>
          </w:tcPr>
          <w:p w14:paraId="7BCF1D7E" w14:textId="77777777" w:rsidR="00213698" w:rsidRDefault="00213698" w:rsidP="00213698">
            <w:pPr>
              <w:spacing w:after="0" w:line="240" w:lineRule="auto"/>
              <w:ind w:left="0" w:firstLine="0"/>
              <w:jc w:val="center"/>
            </w:pPr>
          </w:p>
          <w:p w14:paraId="53AB6654" w14:textId="77777777" w:rsidR="00213698" w:rsidRDefault="00213698" w:rsidP="00213698">
            <w:pPr>
              <w:spacing w:after="0" w:line="240" w:lineRule="auto"/>
              <w:ind w:left="0" w:firstLine="0"/>
              <w:jc w:val="center"/>
              <w:rPr>
                <w:rFonts w:eastAsia="Times New Roman"/>
              </w:rPr>
            </w:pPr>
            <w:r>
              <w:t xml:space="preserve">$53,629.58 </w:t>
            </w:r>
          </w:p>
          <w:p w14:paraId="71819295" w14:textId="77777777" w:rsidR="00213698" w:rsidRDefault="00213698" w:rsidP="00213698">
            <w:pPr>
              <w:spacing w:after="0" w:line="240" w:lineRule="auto"/>
              <w:ind w:left="0" w:firstLine="0"/>
              <w:jc w:val="center"/>
            </w:pP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12E157D1" w14:textId="77777777" w:rsidR="00213698" w:rsidRDefault="00213698" w:rsidP="00213698">
            <w:pPr>
              <w:spacing w:after="0" w:line="240" w:lineRule="auto"/>
              <w:ind w:left="0" w:firstLine="0"/>
              <w:jc w:val="center"/>
            </w:pPr>
          </w:p>
          <w:p w14:paraId="69F29FCD" w14:textId="77777777" w:rsidR="00213698" w:rsidRDefault="00213698" w:rsidP="00213698">
            <w:pPr>
              <w:spacing w:after="0" w:line="240" w:lineRule="auto"/>
              <w:ind w:left="0" w:firstLine="0"/>
              <w:jc w:val="center"/>
              <w:rPr>
                <w:rFonts w:eastAsia="Times New Roman"/>
              </w:rPr>
            </w:pPr>
            <w:r>
              <w:t xml:space="preserve">$183,144.85 </w:t>
            </w:r>
          </w:p>
          <w:p w14:paraId="1BE96220"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6366399E" w14:textId="77777777" w:rsidR="00213698" w:rsidRDefault="00213698" w:rsidP="00213698">
            <w:pPr>
              <w:spacing w:after="0" w:line="240" w:lineRule="auto"/>
              <w:ind w:left="0" w:firstLine="0"/>
              <w:jc w:val="center"/>
            </w:pPr>
          </w:p>
          <w:p w14:paraId="63BD53FD" w14:textId="5BC0866B" w:rsidR="00213698" w:rsidRDefault="00213698" w:rsidP="00213698">
            <w:pPr>
              <w:spacing w:after="0" w:line="240" w:lineRule="auto"/>
              <w:ind w:left="0" w:firstLine="0"/>
              <w:jc w:val="center"/>
              <w:rPr>
                <w:rFonts w:eastAsia="Times New Roman"/>
              </w:rPr>
            </w:pPr>
            <w:r>
              <w:t>$</w:t>
            </w:r>
            <w:r w:rsidR="00975785">
              <w:t>182,443.05</w:t>
            </w:r>
            <w:r>
              <w:t xml:space="preserve"> </w:t>
            </w:r>
          </w:p>
          <w:p w14:paraId="714BF8D5" w14:textId="77777777" w:rsidR="00213698" w:rsidRDefault="00213698" w:rsidP="00213698">
            <w:pPr>
              <w:spacing w:after="0" w:line="240" w:lineRule="auto"/>
              <w:ind w:left="0" w:firstLine="0"/>
              <w:jc w:val="center"/>
            </w:pP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0A96011D" w14:textId="77777777" w:rsidR="00213698" w:rsidRDefault="00213698" w:rsidP="00213698">
            <w:pPr>
              <w:spacing w:after="0" w:line="240" w:lineRule="auto"/>
              <w:ind w:left="0" w:firstLine="0"/>
              <w:jc w:val="center"/>
            </w:pPr>
          </w:p>
          <w:p w14:paraId="37B56138" w14:textId="51BF564B" w:rsidR="00213698" w:rsidRDefault="00C50D99" w:rsidP="00213698">
            <w:pPr>
              <w:spacing w:after="0" w:line="240" w:lineRule="auto"/>
              <w:ind w:left="0" w:firstLine="0"/>
              <w:jc w:val="center"/>
              <w:rPr>
                <w:rFonts w:eastAsia="Times New Roman"/>
              </w:rPr>
            </w:pPr>
            <w:r>
              <w:t>+$701.80</w:t>
            </w:r>
          </w:p>
          <w:p w14:paraId="445F7736" w14:textId="77777777" w:rsidR="00213698" w:rsidRDefault="00213698" w:rsidP="00213698">
            <w:pPr>
              <w:spacing w:after="0" w:line="240" w:lineRule="auto"/>
              <w:ind w:left="0" w:firstLine="0"/>
              <w:jc w:val="center"/>
            </w:pPr>
          </w:p>
        </w:tc>
      </w:tr>
    </w:tbl>
    <w:p w14:paraId="4B9BC35A" w14:textId="61FE785A" w:rsidR="00C11430" w:rsidRDefault="00C57C89" w:rsidP="003F4E77">
      <w:pPr>
        <w:ind w:left="-4"/>
      </w:pPr>
      <w:r>
        <w:t xml:space="preserve">In </w:t>
      </w:r>
      <w:r w:rsidR="00C23B9A">
        <w:t xml:space="preserve">April, May and </w:t>
      </w:r>
      <w:r w:rsidR="00D912F7">
        <w:t xml:space="preserve">June </w:t>
      </w:r>
      <w:r>
        <w:t>the project experienced below average production (</w:t>
      </w:r>
      <w:r w:rsidR="002C54AB">
        <w:t xml:space="preserve">primarily </w:t>
      </w:r>
      <w:r>
        <w:t xml:space="preserve">due to </w:t>
      </w:r>
      <w:r w:rsidR="002C54AB">
        <w:t xml:space="preserve">unanticipated </w:t>
      </w:r>
      <w:r w:rsidR="002419C8">
        <w:t xml:space="preserve">cooler </w:t>
      </w:r>
      <w:r>
        <w:t>weather</w:t>
      </w:r>
      <w:r w:rsidR="00C23B9A">
        <w:t xml:space="preserve">, inverter outages and </w:t>
      </w:r>
      <w:r w:rsidR="002C54AB">
        <w:t>delayed O&amp;M panel washing</w:t>
      </w:r>
      <w:r w:rsidR="00B27752">
        <w:t xml:space="preserve">). </w:t>
      </w:r>
    </w:p>
    <w:p w14:paraId="0734BB7B" w14:textId="19C2686B" w:rsidR="00457C90" w:rsidRDefault="00C11430" w:rsidP="000C3F4F">
      <w:pPr>
        <w:spacing w:line="240" w:lineRule="auto"/>
        <w:ind w:firstLine="0"/>
      </w:pPr>
      <w:r>
        <w:t xml:space="preserve">        </w:t>
      </w:r>
      <w:r w:rsidR="0072672E">
        <w:t>*</w:t>
      </w:r>
      <w:r w:rsidR="007F60EB">
        <w:t xml:space="preserve"> </w:t>
      </w:r>
      <w:r w:rsidR="0072672E">
        <w:t xml:space="preserve">The </w:t>
      </w:r>
      <w:r w:rsidR="00187E2E">
        <w:t xml:space="preserve">$ </w:t>
      </w:r>
      <w:r w:rsidR="0072672E">
        <w:t xml:space="preserve">value of </w:t>
      </w:r>
      <w:r w:rsidR="00187E2E">
        <w:t xml:space="preserve">the </w:t>
      </w:r>
      <w:r w:rsidR="0072672E">
        <w:t xml:space="preserve">solar generation credits </w:t>
      </w:r>
      <w:r w:rsidR="00187E2E">
        <w:t>generated</w:t>
      </w:r>
      <w:r w:rsidR="00E86E46">
        <w:t xml:space="preserve"> during the billing period</w:t>
      </w:r>
      <w:r w:rsidR="006619AF">
        <w:t>. Credits still pending within SCE</w:t>
      </w:r>
      <w:r w:rsidR="001E761A">
        <w:t>.</w:t>
      </w:r>
    </w:p>
    <w:p w14:paraId="5108D677" w14:textId="20C90FE9" w:rsidR="008930D0" w:rsidRDefault="00D41A52" w:rsidP="00202DDA">
      <w:pPr>
        <w:spacing w:line="240" w:lineRule="auto"/>
        <w:ind w:firstLine="0"/>
      </w:pPr>
      <w:r>
        <w:t xml:space="preserve">        **</w:t>
      </w:r>
      <w:r w:rsidR="000C3F4F">
        <w:t>Includes accrued credits that utility has yet to officially apply to the account due to a NEM billing backlog</w:t>
      </w:r>
      <w:r w:rsidR="00801E78">
        <w:t>.</w:t>
      </w:r>
    </w:p>
    <w:tbl>
      <w:tblPr>
        <w:tblStyle w:val="TableGrid"/>
        <w:tblpPr w:leftFromText="180" w:rightFromText="180" w:vertAnchor="text" w:horzAnchor="margin" w:tblpXSpec="center" w:tblpY="413"/>
        <w:tblW w:w="11425" w:type="dxa"/>
        <w:tblInd w:w="0" w:type="dxa"/>
        <w:tblLayout w:type="fixed"/>
        <w:tblCellMar>
          <w:top w:w="47" w:type="dxa"/>
          <w:left w:w="107" w:type="dxa"/>
          <w:right w:w="50" w:type="dxa"/>
        </w:tblCellMar>
        <w:tblLook w:val="04A0" w:firstRow="1" w:lastRow="0" w:firstColumn="1" w:lastColumn="0" w:noHBand="0" w:noVBand="1"/>
      </w:tblPr>
      <w:tblGrid>
        <w:gridCol w:w="1080"/>
        <w:gridCol w:w="1170"/>
        <w:gridCol w:w="1350"/>
        <w:gridCol w:w="1170"/>
        <w:gridCol w:w="1345"/>
        <w:gridCol w:w="1260"/>
        <w:gridCol w:w="1350"/>
        <w:gridCol w:w="1350"/>
        <w:gridCol w:w="1350"/>
      </w:tblGrid>
      <w:tr w:rsidR="000E0516" w14:paraId="2698A2FF" w14:textId="77777777" w:rsidTr="00842E37">
        <w:trPr>
          <w:trHeight w:val="332"/>
        </w:trPr>
        <w:tc>
          <w:tcPr>
            <w:tcW w:w="1080" w:type="dxa"/>
            <w:tcBorders>
              <w:top w:val="nil"/>
              <w:left w:val="single" w:sz="4" w:space="0" w:color="FFFFFF"/>
              <w:bottom w:val="single" w:sz="4" w:space="0" w:color="FFFFFF"/>
              <w:right w:val="single" w:sz="4" w:space="0" w:color="FFFFFF"/>
            </w:tcBorders>
            <w:shd w:val="clear" w:color="auto" w:fill="4471C4"/>
          </w:tcPr>
          <w:p w14:paraId="0DDF4306" w14:textId="77777777" w:rsidR="000E0516" w:rsidRDefault="000E0516" w:rsidP="000E0516">
            <w:pPr>
              <w:spacing w:after="160" w:line="259" w:lineRule="auto"/>
              <w:ind w:left="0" w:firstLine="0"/>
              <w:jc w:val="left"/>
            </w:pPr>
          </w:p>
        </w:tc>
        <w:tc>
          <w:tcPr>
            <w:tcW w:w="1170" w:type="dxa"/>
            <w:tcBorders>
              <w:top w:val="nil"/>
              <w:left w:val="single" w:sz="4" w:space="0" w:color="FFFFFF"/>
              <w:bottom w:val="single" w:sz="4" w:space="0" w:color="FFFFFF"/>
              <w:right w:val="single" w:sz="4" w:space="0" w:color="FFFFFF"/>
            </w:tcBorders>
            <w:shd w:val="clear" w:color="auto" w:fill="4472C4" w:themeFill="accent1"/>
          </w:tcPr>
          <w:p w14:paraId="491AF6E0" w14:textId="77777777" w:rsidR="000E0516" w:rsidRPr="00E4761D" w:rsidRDefault="000E0516" w:rsidP="000E0516">
            <w:pPr>
              <w:spacing w:after="0" w:line="240" w:lineRule="auto"/>
              <w:ind w:left="0" w:firstLine="0"/>
              <w:jc w:val="center"/>
              <w:rPr>
                <w:rFonts w:eastAsia="Times New Roman"/>
                <w:b/>
                <w:bCs/>
                <w:color w:val="FFFFFF" w:themeColor="background1"/>
              </w:rPr>
            </w:pPr>
            <w:r w:rsidRPr="00E4761D">
              <w:rPr>
                <w:b/>
                <w:bCs/>
                <w:color w:val="FFFFFF" w:themeColor="background1"/>
              </w:rPr>
              <w:t xml:space="preserve">Simulation </w:t>
            </w:r>
            <w:proofErr w:type="spellStart"/>
            <w:r w:rsidRPr="00E4761D">
              <w:rPr>
                <w:b/>
                <w:bCs/>
                <w:color w:val="FFFFFF" w:themeColor="background1"/>
              </w:rPr>
              <w:t>PVSyst</w:t>
            </w:r>
            <w:proofErr w:type="spellEnd"/>
          </w:p>
          <w:p w14:paraId="2A7DC3F8" w14:textId="77777777" w:rsidR="000E0516" w:rsidRPr="00E4761D" w:rsidRDefault="000E0516" w:rsidP="000E0516">
            <w:pPr>
              <w:spacing w:after="0" w:line="240" w:lineRule="auto"/>
              <w:ind w:left="0" w:firstLine="0"/>
              <w:jc w:val="center"/>
              <w:rPr>
                <w:b/>
                <w:bCs/>
                <w:color w:val="FFFFFF" w:themeColor="background1"/>
              </w:rPr>
            </w:pP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35D3DDB5" w14:textId="77777777" w:rsidR="000E0516" w:rsidRPr="00E4761D" w:rsidRDefault="000E0516" w:rsidP="000E0516">
            <w:pPr>
              <w:spacing w:after="0" w:line="240" w:lineRule="auto"/>
              <w:ind w:left="0" w:firstLine="0"/>
              <w:jc w:val="center"/>
              <w:rPr>
                <w:b/>
                <w:bCs/>
                <w:color w:val="FFFFFF" w:themeColor="background1"/>
              </w:rPr>
            </w:pPr>
            <w:proofErr w:type="gramStart"/>
            <w:r w:rsidRPr="00E4761D">
              <w:rPr>
                <w:b/>
                <w:bCs/>
                <w:color w:val="FFFFFF" w:themeColor="background1"/>
              </w:rPr>
              <w:t xml:space="preserve">Production  </w:t>
            </w:r>
            <w:r>
              <w:rPr>
                <w:b/>
                <w:bCs/>
                <w:color w:val="FFFFFF" w:themeColor="background1"/>
              </w:rPr>
              <w:t>Meter</w:t>
            </w:r>
            <w:proofErr w:type="gramEnd"/>
            <w:r w:rsidRPr="00E4761D">
              <w:rPr>
                <w:b/>
                <w:bCs/>
                <w:color w:val="FFFFFF" w:themeColor="background1"/>
              </w:rPr>
              <w:t xml:space="preserve"> </w:t>
            </w:r>
          </w:p>
        </w:tc>
        <w:tc>
          <w:tcPr>
            <w:tcW w:w="1170" w:type="dxa"/>
            <w:tcBorders>
              <w:top w:val="nil"/>
              <w:left w:val="single" w:sz="4" w:space="0" w:color="FFFFFF"/>
              <w:bottom w:val="single" w:sz="4" w:space="0" w:color="FFFFFF"/>
              <w:right w:val="single" w:sz="4" w:space="0" w:color="FFFFFF"/>
            </w:tcBorders>
            <w:shd w:val="clear" w:color="auto" w:fill="4472C4" w:themeFill="accent1"/>
          </w:tcPr>
          <w:p w14:paraId="1BED2FB7" w14:textId="3C57DCC6" w:rsidR="000E0516" w:rsidRPr="00E4761D" w:rsidRDefault="000E0516" w:rsidP="000E0516">
            <w:pPr>
              <w:spacing w:after="0" w:line="240" w:lineRule="auto"/>
              <w:ind w:left="0" w:firstLine="0"/>
              <w:jc w:val="center"/>
              <w:rPr>
                <w:rFonts w:eastAsia="Times New Roman"/>
                <w:b/>
                <w:bCs/>
                <w:color w:val="FFFFFF" w:themeColor="background1"/>
              </w:rPr>
            </w:pPr>
            <w:r w:rsidRPr="00E4761D">
              <w:rPr>
                <w:b/>
                <w:bCs/>
                <w:color w:val="FFFFFF" w:themeColor="background1"/>
              </w:rPr>
              <w:t>Production Variance</w:t>
            </w:r>
            <w:r w:rsidR="000E3612">
              <w:rPr>
                <w:b/>
                <w:bCs/>
                <w:color w:val="FFFFFF" w:themeColor="background1"/>
              </w:rPr>
              <w:t>*</w:t>
            </w:r>
          </w:p>
          <w:p w14:paraId="754C337A" w14:textId="77777777" w:rsidR="000E0516" w:rsidRPr="00E4761D" w:rsidRDefault="000E0516" w:rsidP="000E0516">
            <w:pPr>
              <w:spacing w:after="0" w:line="259" w:lineRule="auto"/>
              <w:ind w:left="0" w:right="53" w:firstLine="0"/>
              <w:jc w:val="center"/>
              <w:rPr>
                <w:b/>
                <w:color w:val="FFFFFF" w:themeColor="background1"/>
              </w:rPr>
            </w:pPr>
          </w:p>
        </w:tc>
        <w:tc>
          <w:tcPr>
            <w:tcW w:w="1345" w:type="dxa"/>
            <w:tcBorders>
              <w:top w:val="nil"/>
              <w:left w:val="single" w:sz="4" w:space="0" w:color="FFFFFF"/>
              <w:bottom w:val="single" w:sz="4" w:space="0" w:color="FFFFFF"/>
              <w:right w:val="single" w:sz="4" w:space="0" w:color="FFFFFF"/>
            </w:tcBorders>
            <w:shd w:val="clear" w:color="auto" w:fill="4472C4" w:themeFill="accent1"/>
          </w:tcPr>
          <w:p w14:paraId="075FD1C6" w14:textId="77777777" w:rsidR="000E0516" w:rsidRPr="00E4761D" w:rsidRDefault="000E0516" w:rsidP="000E0516">
            <w:pPr>
              <w:spacing w:after="0" w:line="259" w:lineRule="auto"/>
              <w:ind w:left="0" w:right="53" w:firstLine="0"/>
              <w:jc w:val="center"/>
              <w:rPr>
                <w:b/>
                <w:color w:val="FFFFFF" w:themeColor="background1"/>
              </w:rPr>
            </w:pPr>
            <w:r w:rsidRPr="00E4761D">
              <w:rPr>
                <w:b/>
                <w:color w:val="FFFFFF" w:themeColor="background1"/>
              </w:rPr>
              <w:t>Invoiced</w:t>
            </w:r>
          </w:p>
        </w:tc>
        <w:tc>
          <w:tcPr>
            <w:tcW w:w="1260" w:type="dxa"/>
            <w:tcBorders>
              <w:top w:val="nil"/>
              <w:left w:val="single" w:sz="4" w:space="0" w:color="FFFFFF"/>
              <w:bottom w:val="single" w:sz="4" w:space="0" w:color="FFFFFF"/>
              <w:right w:val="single" w:sz="4" w:space="0" w:color="FFFFFF"/>
            </w:tcBorders>
            <w:shd w:val="clear" w:color="auto" w:fill="4472C4" w:themeFill="accent1"/>
          </w:tcPr>
          <w:p w14:paraId="01FF558D" w14:textId="5DE1AAEA" w:rsidR="000E0516" w:rsidRPr="00E4761D" w:rsidRDefault="000E0516" w:rsidP="000E0516">
            <w:pPr>
              <w:spacing w:after="0" w:line="259" w:lineRule="auto"/>
              <w:ind w:left="0" w:right="53" w:firstLine="0"/>
              <w:jc w:val="center"/>
              <w:rPr>
                <w:b/>
                <w:color w:val="FFFFFF" w:themeColor="background1"/>
              </w:rPr>
            </w:pPr>
            <w:r w:rsidRPr="00E4761D">
              <w:rPr>
                <w:b/>
                <w:color w:val="FFFFFF" w:themeColor="background1"/>
              </w:rPr>
              <w:t>Accrued Credits</w:t>
            </w: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3B81B3AD" w14:textId="3566AD4C" w:rsidR="000E0516" w:rsidRPr="00E4761D" w:rsidRDefault="000E0516" w:rsidP="000E0516">
            <w:pPr>
              <w:spacing w:after="0" w:line="259" w:lineRule="auto"/>
              <w:ind w:left="0" w:right="53" w:firstLine="0"/>
              <w:jc w:val="center"/>
              <w:rPr>
                <w:b/>
                <w:color w:val="FFFFFF" w:themeColor="background1"/>
              </w:rPr>
            </w:pPr>
            <w:r w:rsidRPr="00E4761D">
              <w:rPr>
                <w:b/>
                <w:color w:val="FFFFFF" w:themeColor="background1"/>
              </w:rPr>
              <w:t>Value Created</w:t>
            </w: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79D6C931" w14:textId="09E401FD" w:rsidR="000E0516" w:rsidRPr="00E4761D" w:rsidRDefault="000E0516" w:rsidP="000E0516">
            <w:pPr>
              <w:spacing w:after="0" w:line="259" w:lineRule="auto"/>
              <w:ind w:left="0" w:right="53" w:firstLine="0"/>
              <w:jc w:val="center"/>
              <w:rPr>
                <w:b/>
                <w:color w:val="FFFFFF" w:themeColor="background1"/>
              </w:rPr>
            </w:pPr>
            <w:r w:rsidRPr="00E4761D">
              <w:rPr>
                <w:b/>
                <w:color w:val="FFFFFF" w:themeColor="background1"/>
              </w:rPr>
              <w:t>Projected Revenue</w:t>
            </w:r>
          </w:p>
        </w:tc>
        <w:tc>
          <w:tcPr>
            <w:tcW w:w="1350" w:type="dxa"/>
            <w:tcBorders>
              <w:top w:val="nil"/>
              <w:left w:val="single" w:sz="4" w:space="0" w:color="FFFFFF"/>
              <w:bottom w:val="single" w:sz="4" w:space="0" w:color="FFFFFF"/>
              <w:right w:val="single" w:sz="4" w:space="0" w:color="FFFFFF"/>
            </w:tcBorders>
            <w:shd w:val="clear" w:color="auto" w:fill="4472C4" w:themeFill="accent1"/>
          </w:tcPr>
          <w:p w14:paraId="3FF1495F" w14:textId="3F1311BA" w:rsidR="000E0516" w:rsidRPr="00E4761D" w:rsidRDefault="000E0516" w:rsidP="000E0516">
            <w:pPr>
              <w:spacing w:after="0" w:line="259" w:lineRule="auto"/>
              <w:ind w:left="0" w:right="53" w:firstLine="0"/>
              <w:jc w:val="center"/>
              <w:rPr>
                <w:b/>
                <w:color w:val="FFFFFF" w:themeColor="background1"/>
              </w:rPr>
            </w:pPr>
            <w:r w:rsidRPr="00E4761D">
              <w:rPr>
                <w:b/>
                <w:color w:val="FFFFFF" w:themeColor="background1"/>
              </w:rPr>
              <w:t>Revenue Variance</w:t>
            </w:r>
          </w:p>
        </w:tc>
      </w:tr>
      <w:tr w:rsidR="000E0516" w14:paraId="41E33794" w14:textId="77777777" w:rsidTr="00842E37">
        <w:trPr>
          <w:trHeight w:val="310"/>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48B1D02D" w14:textId="77777777" w:rsidR="000E0516" w:rsidRDefault="000E0516" w:rsidP="000E0516">
            <w:pPr>
              <w:spacing w:after="0" w:line="259" w:lineRule="auto"/>
              <w:ind w:left="0" w:firstLine="0"/>
            </w:pPr>
            <w:r>
              <w:rPr>
                <w:b/>
                <w:color w:val="FFFFFF"/>
              </w:rPr>
              <w:t>Quarter</w:t>
            </w:r>
          </w:p>
        </w:tc>
        <w:tc>
          <w:tcPr>
            <w:tcW w:w="1170" w:type="dxa"/>
            <w:tcBorders>
              <w:top w:val="single" w:sz="4" w:space="0" w:color="FFFFFF"/>
              <w:left w:val="single" w:sz="4" w:space="0" w:color="FFFFFF"/>
              <w:bottom w:val="single" w:sz="4" w:space="0" w:color="FFFFFF"/>
              <w:right w:val="single" w:sz="4" w:space="0" w:color="FFFFFF"/>
            </w:tcBorders>
            <w:shd w:val="clear" w:color="auto" w:fill="D9E1F3"/>
          </w:tcPr>
          <w:p w14:paraId="688C2962" w14:textId="77777777" w:rsidR="000E0516" w:rsidRDefault="000E0516" w:rsidP="000E0516">
            <w:pPr>
              <w:spacing w:after="0" w:line="259" w:lineRule="auto"/>
              <w:ind w:left="0" w:right="54" w:firstLine="0"/>
              <w:jc w:val="center"/>
            </w:pPr>
            <w:r>
              <w:t>kWh</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641C890A" w14:textId="77777777" w:rsidR="000E0516" w:rsidRDefault="000E0516" w:rsidP="000E0516">
            <w:pPr>
              <w:spacing w:after="0" w:line="259" w:lineRule="auto"/>
              <w:ind w:left="0" w:right="54" w:firstLine="0"/>
              <w:jc w:val="center"/>
            </w:pPr>
            <w:r>
              <w:t>kWh</w:t>
            </w:r>
          </w:p>
        </w:tc>
        <w:tc>
          <w:tcPr>
            <w:tcW w:w="1170" w:type="dxa"/>
            <w:tcBorders>
              <w:top w:val="single" w:sz="4" w:space="0" w:color="FFFFFF"/>
              <w:left w:val="single" w:sz="4" w:space="0" w:color="FFFFFF"/>
              <w:bottom w:val="single" w:sz="4" w:space="0" w:color="FFFFFF"/>
              <w:right w:val="single" w:sz="4" w:space="0" w:color="FFFFFF"/>
            </w:tcBorders>
            <w:shd w:val="clear" w:color="auto" w:fill="D9E1F3"/>
          </w:tcPr>
          <w:p w14:paraId="35C228D0" w14:textId="77777777" w:rsidR="000E0516" w:rsidRDefault="000E0516" w:rsidP="000E0516">
            <w:pPr>
              <w:spacing w:after="0" w:line="259" w:lineRule="auto"/>
              <w:ind w:left="0" w:right="54" w:firstLine="0"/>
              <w:jc w:val="center"/>
            </w:pPr>
            <w:r>
              <w:t>kWh</w:t>
            </w:r>
          </w:p>
        </w:tc>
        <w:tc>
          <w:tcPr>
            <w:tcW w:w="1345" w:type="dxa"/>
            <w:tcBorders>
              <w:top w:val="single" w:sz="4" w:space="0" w:color="FFFFFF"/>
              <w:left w:val="single" w:sz="4" w:space="0" w:color="FFFFFF"/>
              <w:bottom w:val="single" w:sz="4" w:space="0" w:color="FFFFFF"/>
              <w:right w:val="single" w:sz="4" w:space="0" w:color="FFFFFF"/>
            </w:tcBorders>
            <w:shd w:val="clear" w:color="auto" w:fill="D9E1F3"/>
          </w:tcPr>
          <w:p w14:paraId="74A487C7" w14:textId="77777777" w:rsidR="000E0516" w:rsidRDefault="000E0516" w:rsidP="000E0516">
            <w:pPr>
              <w:spacing w:after="0" w:line="259" w:lineRule="auto"/>
              <w:ind w:left="0" w:right="54" w:firstLine="0"/>
              <w:jc w:val="center"/>
            </w:pPr>
            <w:r>
              <w:t>$</w:t>
            </w:r>
          </w:p>
        </w:tc>
        <w:tc>
          <w:tcPr>
            <w:tcW w:w="1260" w:type="dxa"/>
            <w:tcBorders>
              <w:top w:val="single" w:sz="4" w:space="0" w:color="FFFFFF"/>
              <w:left w:val="single" w:sz="4" w:space="0" w:color="FFFFFF"/>
              <w:bottom w:val="single" w:sz="4" w:space="0" w:color="FFFFFF"/>
              <w:right w:val="single" w:sz="4" w:space="0" w:color="FFFFFF"/>
            </w:tcBorders>
            <w:shd w:val="clear" w:color="auto" w:fill="D9E1F3"/>
          </w:tcPr>
          <w:p w14:paraId="66F9E3CA" w14:textId="77777777" w:rsidR="000E0516" w:rsidRDefault="000E0516" w:rsidP="000E0516">
            <w:pPr>
              <w:spacing w:after="0" w:line="259" w:lineRule="auto"/>
              <w:ind w:left="0" w:right="54" w:firstLine="0"/>
              <w:jc w:val="center"/>
            </w:pPr>
            <w:r>
              <w:t>$</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1BA49806" w14:textId="77777777" w:rsidR="000E0516" w:rsidRDefault="000E0516" w:rsidP="000E0516">
            <w:pPr>
              <w:spacing w:after="0" w:line="259" w:lineRule="auto"/>
              <w:ind w:left="0" w:right="54" w:firstLine="0"/>
              <w:jc w:val="center"/>
            </w:pPr>
            <w:r>
              <w:t>$</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1468D747" w14:textId="77777777" w:rsidR="000E0516" w:rsidRDefault="000E0516" w:rsidP="000E0516">
            <w:pPr>
              <w:spacing w:after="0" w:line="259" w:lineRule="auto"/>
              <w:ind w:left="0" w:right="54" w:firstLine="0"/>
              <w:jc w:val="center"/>
            </w:pPr>
            <w:r>
              <w:t>$</w:t>
            </w:r>
          </w:p>
        </w:tc>
        <w:tc>
          <w:tcPr>
            <w:tcW w:w="1350" w:type="dxa"/>
            <w:tcBorders>
              <w:top w:val="single" w:sz="4" w:space="0" w:color="FFFFFF"/>
              <w:left w:val="single" w:sz="4" w:space="0" w:color="FFFFFF"/>
              <w:bottom w:val="single" w:sz="4" w:space="0" w:color="FFFFFF"/>
              <w:right w:val="single" w:sz="4" w:space="0" w:color="FFFFFF"/>
            </w:tcBorders>
            <w:shd w:val="clear" w:color="auto" w:fill="D9E1F3"/>
          </w:tcPr>
          <w:p w14:paraId="15178202" w14:textId="77777777" w:rsidR="000E0516" w:rsidRDefault="000E0516" w:rsidP="000E0516">
            <w:pPr>
              <w:spacing w:after="0" w:line="259" w:lineRule="auto"/>
              <w:ind w:left="0" w:right="54" w:firstLine="0"/>
              <w:jc w:val="center"/>
            </w:pPr>
            <w:r>
              <w:t>$</w:t>
            </w:r>
          </w:p>
        </w:tc>
      </w:tr>
      <w:tr w:rsidR="000E0516" w14:paraId="514931AE" w14:textId="77777777" w:rsidTr="00842E37">
        <w:trPr>
          <w:trHeight w:val="681"/>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44D81317" w14:textId="77777777" w:rsidR="000E0516" w:rsidRDefault="000E0516" w:rsidP="000E0516">
            <w:pPr>
              <w:spacing w:after="0" w:line="259" w:lineRule="auto"/>
              <w:ind w:left="65" w:firstLine="0"/>
              <w:jc w:val="left"/>
              <w:rPr>
                <w:b/>
                <w:color w:val="FFFFFF"/>
              </w:rPr>
            </w:pPr>
          </w:p>
          <w:p w14:paraId="30612988" w14:textId="77777777" w:rsidR="000E0516" w:rsidRDefault="000E0516" w:rsidP="000E0516">
            <w:pPr>
              <w:spacing w:after="0" w:line="259" w:lineRule="auto"/>
              <w:jc w:val="left"/>
            </w:pPr>
            <w:r>
              <w:rPr>
                <w:b/>
                <w:color w:val="FFFFFF"/>
              </w:rPr>
              <w:t>18 – Q1</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1A830786" w14:textId="77777777" w:rsidR="000E0516" w:rsidRDefault="000E0516" w:rsidP="000E0516">
            <w:pPr>
              <w:spacing w:line="240" w:lineRule="auto"/>
              <w:ind w:left="0" w:firstLine="0"/>
              <w:jc w:val="center"/>
            </w:pPr>
          </w:p>
          <w:p w14:paraId="2FC44D3D" w14:textId="794CFD22" w:rsidR="000E0516" w:rsidRDefault="0007153B" w:rsidP="000E0516">
            <w:pPr>
              <w:spacing w:after="0" w:line="240" w:lineRule="auto"/>
              <w:ind w:left="40" w:firstLine="0"/>
              <w:jc w:val="center"/>
            </w:pPr>
            <w:r>
              <w:t>487,409</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18D3E16C" w14:textId="77777777" w:rsidR="000E0516" w:rsidRDefault="000E0516" w:rsidP="000E0516">
            <w:pPr>
              <w:spacing w:line="240" w:lineRule="auto"/>
              <w:ind w:left="0" w:firstLine="0"/>
              <w:jc w:val="center"/>
            </w:pPr>
          </w:p>
          <w:p w14:paraId="137BB1EC" w14:textId="774A7B8C" w:rsidR="000E0516" w:rsidRDefault="00FD3495" w:rsidP="000E0516">
            <w:pPr>
              <w:spacing w:after="0" w:line="240" w:lineRule="auto"/>
              <w:ind w:left="0" w:firstLine="0"/>
              <w:jc w:val="center"/>
            </w:pPr>
            <w:r>
              <w:t>375,390</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0B655B5E" w14:textId="77777777" w:rsidR="000E0516" w:rsidRDefault="000E0516" w:rsidP="000E0516">
            <w:pPr>
              <w:spacing w:line="240" w:lineRule="auto"/>
              <w:ind w:left="0" w:firstLine="0"/>
              <w:jc w:val="center"/>
            </w:pPr>
          </w:p>
          <w:p w14:paraId="4A6ED434" w14:textId="587BFD3A" w:rsidR="000E0516" w:rsidRPr="00316D40" w:rsidRDefault="00FD3495" w:rsidP="000E0516">
            <w:pPr>
              <w:spacing w:line="240" w:lineRule="auto"/>
              <w:jc w:val="center"/>
            </w:pPr>
            <w:r>
              <w:t>-35,944</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18CFAB6E" w14:textId="77777777" w:rsidR="000E0516" w:rsidRDefault="000E0516" w:rsidP="000E0516">
            <w:pPr>
              <w:spacing w:line="240" w:lineRule="auto"/>
              <w:jc w:val="center"/>
            </w:pPr>
          </w:p>
          <w:p w14:paraId="71F05AF2" w14:textId="77777777" w:rsidR="000E0516" w:rsidRPr="003540D8" w:rsidRDefault="000E0516" w:rsidP="000E0516">
            <w:pPr>
              <w:spacing w:line="240" w:lineRule="auto"/>
              <w:jc w:val="center"/>
            </w:pPr>
            <w:r>
              <w:t>$30,892.56</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2CDDFAC3" w14:textId="77777777" w:rsidR="000E0516" w:rsidRDefault="000E0516" w:rsidP="000E0516">
            <w:pPr>
              <w:spacing w:line="240" w:lineRule="auto"/>
              <w:ind w:left="0" w:firstLine="0"/>
            </w:pPr>
          </w:p>
          <w:p w14:paraId="5AE9E6A0" w14:textId="1FEADA91" w:rsidR="000E0516" w:rsidRPr="003540D8" w:rsidRDefault="000E0516" w:rsidP="000E0516">
            <w:pPr>
              <w:spacing w:line="240" w:lineRule="auto"/>
              <w:ind w:left="0" w:firstLine="0"/>
            </w:pPr>
            <w:r>
              <w:t xml:space="preserve"> $</w:t>
            </w:r>
            <w:r w:rsidR="00944088">
              <w:t>13,</w:t>
            </w:r>
            <w:r w:rsidR="00A61827">
              <w:t>228.81</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5A417585" w14:textId="77777777" w:rsidR="000E0516" w:rsidRDefault="000E0516" w:rsidP="000E0516">
            <w:pPr>
              <w:spacing w:line="240" w:lineRule="auto"/>
              <w:ind w:left="0" w:firstLine="0"/>
            </w:pPr>
          </w:p>
          <w:p w14:paraId="1C4650A7" w14:textId="2BB15A03" w:rsidR="000E0516" w:rsidRDefault="000E0516" w:rsidP="000E0516">
            <w:pPr>
              <w:spacing w:after="0" w:line="240" w:lineRule="auto"/>
              <w:ind w:left="0" w:firstLine="0"/>
              <w:jc w:val="center"/>
            </w:pPr>
            <w:r>
              <w:t>$</w:t>
            </w:r>
            <w:r w:rsidR="00B727FA">
              <w:t>44,121.37</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5090C845" w14:textId="77777777" w:rsidR="000E0516" w:rsidRDefault="000E0516" w:rsidP="000E0516">
            <w:pPr>
              <w:spacing w:line="240" w:lineRule="auto"/>
              <w:ind w:left="0" w:firstLine="0"/>
            </w:pPr>
          </w:p>
          <w:p w14:paraId="5D5FE258" w14:textId="3007E0E4" w:rsidR="000E0516" w:rsidRDefault="000E0516" w:rsidP="000E0516">
            <w:pPr>
              <w:spacing w:after="0" w:line="240" w:lineRule="auto"/>
              <w:ind w:left="0" w:firstLine="0"/>
              <w:jc w:val="center"/>
            </w:pPr>
            <w:r>
              <w:t>$</w:t>
            </w:r>
            <w:r w:rsidR="00D13B0D">
              <w:t>44,190.73</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427B3DA9" w14:textId="77777777" w:rsidR="000E0516" w:rsidRDefault="000E0516" w:rsidP="000E0516">
            <w:pPr>
              <w:spacing w:line="240" w:lineRule="auto"/>
              <w:jc w:val="center"/>
            </w:pPr>
          </w:p>
          <w:p w14:paraId="0CF94142" w14:textId="3485F867" w:rsidR="000E0516" w:rsidRPr="0073138C" w:rsidRDefault="00DE6F0F" w:rsidP="000E0516">
            <w:pPr>
              <w:spacing w:line="240" w:lineRule="auto"/>
              <w:jc w:val="center"/>
            </w:pPr>
            <w:r>
              <w:t>-</w:t>
            </w:r>
            <w:r w:rsidR="006159DD">
              <w:t>$</w:t>
            </w:r>
            <w:r w:rsidR="002425DE">
              <w:t>69.36</w:t>
            </w:r>
          </w:p>
        </w:tc>
      </w:tr>
      <w:tr w:rsidR="000E0516" w14:paraId="42D3655C" w14:textId="77777777" w:rsidTr="00842E37">
        <w:trPr>
          <w:trHeight w:val="771"/>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0003BC9A" w14:textId="77777777" w:rsidR="000E0516" w:rsidRDefault="000E0516" w:rsidP="000E0516">
            <w:pPr>
              <w:spacing w:after="0" w:line="259" w:lineRule="auto"/>
              <w:ind w:left="65" w:firstLine="0"/>
              <w:jc w:val="left"/>
              <w:rPr>
                <w:b/>
                <w:color w:val="FFFFFF"/>
              </w:rPr>
            </w:pPr>
          </w:p>
          <w:p w14:paraId="2A671200" w14:textId="77777777" w:rsidR="000E0516" w:rsidRDefault="000E0516" w:rsidP="000E0516">
            <w:pPr>
              <w:spacing w:after="0" w:line="259" w:lineRule="auto"/>
              <w:ind w:left="65" w:firstLine="0"/>
              <w:jc w:val="left"/>
              <w:rPr>
                <w:b/>
                <w:color w:val="FFFFFF"/>
              </w:rPr>
            </w:pPr>
            <w:r>
              <w:rPr>
                <w:b/>
                <w:color w:val="FFFFFF"/>
              </w:rPr>
              <w:t xml:space="preserve">18 – Q2 </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4F2A4A5D" w14:textId="77777777" w:rsidR="000E0516" w:rsidRDefault="000E0516" w:rsidP="000E0516">
            <w:pPr>
              <w:spacing w:line="240" w:lineRule="auto"/>
              <w:jc w:val="center"/>
            </w:pPr>
          </w:p>
          <w:p w14:paraId="2473BA93" w14:textId="52C056D5" w:rsidR="000E0516" w:rsidRDefault="000E0516" w:rsidP="000E0516">
            <w:pPr>
              <w:spacing w:line="240" w:lineRule="auto"/>
              <w:ind w:left="0" w:firstLine="0"/>
            </w:pPr>
            <w:r>
              <w:t xml:space="preserve">  </w:t>
            </w:r>
            <w:r w:rsidR="00EC0E62">
              <w:t>951,092</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06C9610A" w14:textId="77777777" w:rsidR="000E0516" w:rsidRDefault="000E0516" w:rsidP="000E0516">
            <w:pPr>
              <w:spacing w:line="240" w:lineRule="auto"/>
              <w:jc w:val="center"/>
            </w:pPr>
          </w:p>
          <w:p w14:paraId="769C629E" w14:textId="438CDC4D" w:rsidR="000E0516" w:rsidRDefault="00CE0DC4" w:rsidP="000E0516">
            <w:pPr>
              <w:spacing w:after="0" w:line="240" w:lineRule="auto"/>
              <w:ind w:left="0" w:firstLine="0"/>
              <w:jc w:val="center"/>
            </w:pPr>
            <w:r>
              <w:t>792,811</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68804B1F" w14:textId="77777777" w:rsidR="000E0516" w:rsidRDefault="000E0516" w:rsidP="000E0516">
            <w:pPr>
              <w:spacing w:line="240" w:lineRule="auto"/>
              <w:jc w:val="center"/>
            </w:pPr>
          </w:p>
          <w:p w14:paraId="1CCECAB1" w14:textId="499B58DB" w:rsidR="000E0516" w:rsidRPr="00FE2C88" w:rsidRDefault="00EC0E62" w:rsidP="000E0516">
            <w:pPr>
              <w:spacing w:line="240" w:lineRule="auto"/>
              <w:jc w:val="center"/>
            </w:pPr>
            <w:r>
              <w:t>-</w:t>
            </w:r>
            <w:r w:rsidR="00CE0DC4">
              <w:t>158,281</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4442A764" w14:textId="77777777" w:rsidR="000E0516" w:rsidRDefault="000E0516" w:rsidP="000E0516">
            <w:pPr>
              <w:spacing w:line="240" w:lineRule="auto"/>
              <w:jc w:val="center"/>
            </w:pPr>
          </w:p>
          <w:p w14:paraId="4C1C7EEB" w14:textId="77777777" w:rsidR="000E0516" w:rsidRPr="003540D8" w:rsidRDefault="000E0516" w:rsidP="000E0516">
            <w:pPr>
              <w:spacing w:line="240" w:lineRule="auto"/>
              <w:jc w:val="center"/>
            </w:pPr>
            <w:r>
              <w:t>$129,515.27</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7C3DE42B" w14:textId="77777777" w:rsidR="000E0516" w:rsidRDefault="000E0516" w:rsidP="000E0516">
            <w:pPr>
              <w:spacing w:line="240" w:lineRule="auto"/>
              <w:jc w:val="center"/>
            </w:pPr>
          </w:p>
          <w:p w14:paraId="6D674DEA" w14:textId="182FA34F" w:rsidR="000E0516" w:rsidRPr="003540D8" w:rsidRDefault="000E0516" w:rsidP="000E0516">
            <w:pPr>
              <w:spacing w:line="240" w:lineRule="auto"/>
              <w:jc w:val="center"/>
            </w:pPr>
            <w:r>
              <w:t>$</w:t>
            </w:r>
            <w:r w:rsidR="00EC0E62">
              <w:t>53,629.58</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2F24F36F" w14:textId="77777777" w:rsidR="000E0516" w:rsidRDefault="000E0516" w:rsidP="000E0516">
            <w:pPr>
              <w:spacing w:line="240" w:lineRule="auto"/>
              <w:jc w:val="center"/>
            </w:pPr>
          </w:p>
          <w:p w14:paraId="379BB2AE" w14:textId="670F06B0" w:rsidR="000E0516" w:rsidRDefault="000E0516" w:rsidP="000E0516">
            <w:pPr>
              <w:spacing w:line="240" w:lineRule="auto"/>
              <w:jc w:val="center"/>
            </w:pPr>
            <w:r>
              <w:t>$</w:t>
            </w:r>
            <w:r w:rsidR="004F5F4C">
              <w:t>183,144.85</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6B229061" w14:textId="77777777" w:rsidR="000E0516" w:rsidRDefault="000E0516" w:rsidP="000E0516">
            <w:pPr>
              <w:spacing w:line="240" w:lineRule="auto"/>
              <w:jc w:val="center"/>
            </w:pPr>
          </w:p>
          <w:p w14:paraId="2809CAE8" w14:textId="05487B7E" w:rsidR="000E0516" w:rsidRDefault="000E0516" w:rsidP="000E0516">
            <w:pPr>
              <w:spacing w:line="240" w:lineRule="auto"/>
              <w:jc w:val="center"/>
            </w:pPr>
            <w:r>
              <w:t>$</w:t>
            </w:r>
            <w:r w:rsidR="000C3F4F">
              <w:t>182,443.05</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1AB9EEE4" w14:textId="77777777" w:rsidR="000E0516" w:rsidRDefault="000E0516" w:rsidP="000E0516">
            <w:pPr>
              <w:spacing w:line="240" w:lineRule="auto"/>
              <w:jc w:val="center"/>
            </w:pPr>
          </w:p>
          <w:p w14:paraId="6A0E54AD" w14:textId="7D3A3F6A" w:rsidR="000E0516" w:rsidRPr="009B6929" w:rsidRDefault="00DE6F0F" w:rsidP="000E0516">
            <w:pPr>
              <w:spacing w:line="240" w:lineRule="auto"/>
              <w:jc w:val="center"/>
            </w:pPr>
            <w:r>
              <w:t>+$</w:t>
            </w:r>
            <w:r w:rsidR="004F5F4C">
              <w:t>701.80</w:t>
            </w:r>
          </w:p>
        </w:tc>
      </w:tr>
      <w:tr w:rsidR="00241FAA" w14:paraId="011CA316" w14:textId="77777777" w:rsidTr="00481845">
        <w:trPr>
          <w:trHeight w:val="723"/>
        </w:trPr>
        <w:tc>
          <w:tcPr>
            <w:tcW w:w="1080" w:type="dxa"/>
            <w:tcBorders>
              <w:top w:val="single" w:sz="4" w:space="0" w:color="FFFFFF"/>
              <w:left w:val="single" w:sz="4" w:space="0" w:color="FFFFFF"/>
              <w:bottom w:val="single" w:sz="4" w:space="0" w:color="FFFFFF"/>
              <w:right w:val="single" w:sz="4" w:space="0" w:color="FFFFFF"/>
            </w:tcBorders>
            <w:shd w:val="clear" w:color="auto" w:fill="4471C4"/>
          </w:tcPr>
          <w:p w14:paraId="42E46592" w14:textId="77777777" w:rsidR="00241FAA" w:rsidRDefault="00241FAA" w:rsidP="00241FAA">
            <w:pPr>
              <w:spacing w:after="0" w:line="259" w:lineRule="auto"/>
              <w:ind w:left="65" w:firstLine="0"/>
              <w:jc w:val="left"/>
              <w:rPr>
                <w:b/>
                <w:color w:val="FFFFFF"/>
              </w:rPr>
            </w:pPr>
            <w:r>
              <w:rPr>
                <w:b/>
                <w:color w:val="FFFFFF"/>
              </w:rPr>
              <w:t>2018 Total</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71780669" w14:textId="77777777" w:rsidR="00241FAA" w:rsidRDefault="00241FAA" w:rsidP="00241FAA">
            <w:pPr>
              <w:spacing w:line="240" w:lineRule="auto"/>
              <w:jc w:val="center"/>
            </w:pPr>
          </w:p>
          <w:p w14:paraId="4F196223" w14:textId="64280277" w:rsidR="00241FAA" w:rsidRDefault="00241FAA" w:rsidP="00241FAA">
            <w:pPr>
              <w:spacing w:line="240" w:lineRule="auto"/>
              <w:jc w:val="center"/>
            </w:pPr>
            <w:r>
              <w:t>1,</w:t>
            </w:r>
            <w:r w:rsidR="00EC0E62">
              <w:t>438,501</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6317ECF1" w14:textId="77777777" w:rsidR="00241FAA" w:rsidRDefault="00241FAA" w:rsidP="00241FAA">
            <w:pPr>
              <w:spacing w:line="240" w:lineRule="auto"/>
              <w:jc w:val="center"/>
            </w:pPr>
          </w:p>
          <w:p w14:paraId="1BD6B93A" w14:textId="426AD9D3" w:rsidR="00241FAA" w:rsidRDefault="004E3BEC" w:rsidP="00241FAA">
            <w:pPr>
              <w:spacing w:line="240" w:lineRule="auto"/>
              <w:jc w:val="center"/>
            </w:pPr>
            <w:r>
              <w:t>1,167,365</w:t>
            </w:r>
          </w:p>
        </w:tc>
        <w:tc>
          <w:tcPr>
            <w:tcW w:w="1170" w:type="dxa"/>
            <w:tcBorders>
              <w:top w:val="single" w:sz="4" w:space="0" w:color="FFFFFF"/>
              <w:left w:val="single" w:sz="4" w:space="0" w:color="FFFFFF"/>
              <w:bottom w:val="single" w:sz="4" w:space="0" w:color="FFFFFF"/>
              <w:right w:val="single" w:sz="4" w:space="0" w:color="FFFFFF"/>
            </w:tcBorders>
            <w:shd w:val="clear" w:color="auto" w:fill="B4C5E7"/>
          </w:tcPr>
          <w:p w14:paraId="33D96E45" w14:textId="77777777" w:rsidR="00241FAA" w:rsidRDefault="00241FAA" w:rsidP="00241FAA">
            <w:pPr>
              <w:spacing w:line="240" w:lineRule="auto"/>
              <w:jc w:val="center"/>
            </w:pPr>
          </w:p>
          <w:p w14:paraId="178C97C0" w14:textId="47B54802" w:rsidR="00241FAA" w:rsidRDefault="004E3BEC" w:rsidP="00241FAA">
            <w:pPr>
              <w:spacing w:line="240" w:lineRule="auto"/>
              <w:jc w:val="center"/>
            </w:pPr>
            <w:r>
              <w:t>-</w:t>
            </w:r>
            <w:r w:rsidR="00CE0DC4">
              <w:t>194,225</w:t>
            </w:r>
          </w:p>
        </w:tc>
        <w:tc>
          <w:tcPr>
            <w:tcW w:w="1345" w:type="dxa"/>
            <w:tcBorders>
              <w:top w:val="single" w:sz="4" w:space="0" w:color="FFFFFF"/>
              <w:left w:val="single" w:sz="4" w:space="0" w:color="FFFFFF"/>
              <w:bottom w:val="single" w:sz="4" w:space="0" w:color="FFFFFF"/>
              <w:right w:val="single" w:sz="4" w:space="0" w:color="FFFFFF"/>
            </w:tcBorders>
            <w:shd w:val="clear" w:color="auto" w:fill="B4C5E7"/>
          </w:tcPr>
          <w:p w14:paraId="32FD46BA" w14:textId="77777777" w:rsidR="00241FAA" w:rsidRDefault="00241FAA" w:rsidP="00241FAA">
            <w:pPr>
              <w:spacing w:line="240" w:lineRule="auto"/>
              <w:jc w:val="center"/>
            </w:pPr>
          </w:p>
          <w:p w14:paraId="07A664A4" w14:textId="14F5A787" w:rsidR="00241FAA" w:rsidRDefault="00241FAA" w:rsidP="00241FAA">
            <w:pPr>
              <w:spacing w:line="240" w:lineRule="auto"/>
              <w:jc w:val="center"/>
            </w:pPr>
            <w:r>
              <w:t>$160,407.83</w:t>
            </w:r>
          </w:p>
        </w:tc>
        <w:tc>
          <w:tcPr>
            <w:tcW w:w="1260" w:type="dxa"/>
            <w:tcBorders>
              <w:top w:val="single" w:sz="4" w:space="0" w:color="FFFFFF"/>
              <w:left w:val="single" w:sz="4" w:space="0" w:color="FFFFFF"/>
              <w:bottom w:val="single" w:sz="4" w:space="0" w:color="FFFFFF"/>
              <w:right w:val="single" w:sz="4" w:space="0" w:color="FFFFFF"/>
            </w:tcBorders>
            <w:shd w:val="clear" w:color="auto" w:fill="B4C5E7"/>
          </w:tcPr>
          <w:p w14:paraId="4562404C" w14:textId="77777777" w:rsidR="00241FAA" w:rsidRDefault="00241FAA" w:rsidP="00241FAA">
            <w:pPr>
              <w:spacing w:line="240" w:lineRule="auto"/>
              <w:jc w:val="center"/>
            </w:pPr>
          </w:p>
          <w:p w14:paraId="156F8A6C" w14:textId="6BC30DF7" w:rsidR="00241FAA" w:rsidRDefault="00241FAA" w:rsidP="00241FAA">
            <w:pPr>
              <w:spacing w:line="240" w:lineRule="auto"/>
              <w:jc w:val="center"/>
            </w:pPr>
            <w:r>
              <w:t>$</w:t>
            </w:r>
            <w:r w:rsidR="004115E4">
              <w:t>66,858.36</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766968BE" w14:textId="77777777" w:rsidR="00241FAA" w:rsidRDefault="00241FAA" w:rsidP="00241FAA">
            <w:pPr>
              <w:spacing w:line="240" w:lineRule="auto"/>
              <w:jc w:val="center"/>
            </w:pPr>
          </w:p>
          <w:p w14:paraId="731E1677" w14:textId="3DD1EB77" w:rsidR="00241FAA" w:rsidRDefault="00241FAA" w:rsidP="00241FAA">
            <w:pPr>
              <w:spacing w:line="240" w:lineRule="auto"/>
              <w:jc w:val="center"/>
            </w:pPr>
            <w:r>
              <w:t>$</w:t>
            </w:r>
            <w:r w:rsidR="00050799">
              <w:t>227,266.22</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578CB807" w14:textId="77777777" w:rsidR="00241FAA" w:rsidRDefault="00241FAA" w:rsidP="00241FAA">
            <w:pPr>
              <w:spacing w:line="240" w:lineRule="auto"/>
              <w:jc w:val="center"/>
            </w:pPr>
          </w:p>
          <w:p w14:paraId="6450CD23" w14:textId="574763A0" w:rsidR="00DE6F0F" w:rsidRDefault="00DE6F0F" w:rsidP="00241FAA">
            <w:pPr>
              <w:spacing w:line="240" w:lineRule="auto"/>
              <w:jc w:val="center"/>
            </w:pPr>
            <w:r>
              <w:t>$</w:t>
            </w:r>
            <w:r w:rsidR="00CD5634">
              <w:t>226,633.78</w:t>
            </w:r>
          </w:p>
        </w:tc>
        <w:tc>
          <w:tcPr>
            <w:tcW w:w="1350" w:type="dxa"/>
            <w:tcBorders>
              <w:top w:val="single" w:sz="4" w:space="0" w:color="FFFFFF"/>
              <w:left w:val="single" w:sz="4" w:space="0" w:color="FFFFFF"/>
              <w:bottom w:val="single" w:sz="4" w:space="0" w:color="FFFFFF"/>
              <w:right w:val="single" w:sz="4" w:space="0" w:color="FFFFFF"/>
            </w:tcBorders>
            <w:shd w:val="clear" w:color="auto" w:fill="B4C5E7"/>
          </w:tcPr>
          <w:p w14:paraId="74CC9640" w14:textId="77777777" w:rsidR="00241FAA" w:rsidRDefault="00241FAA" w:rsidP="00241FAA">
            <w:pPr>
              <w:spacing w:line="240" w:lineRule="auto"/>
              <w:jc w:val="center"/>
            </w:pPr>
          </w:p>
          <w:p w14:paraId="0ADAA5F0" w14:textId="3C4FBBCB" w:rsidR="0096283A" w:rsidRDefault="00213698" w:rsidP="00241FAA">
            <w:pPr>
              <w:spacing w:line="240" w:lineRule="auto"/>
              <w:jc w:val="center"/>
            </w:pPr>
            <w:r>
              <w:t>+$</w:t>
            </w:r>
            <w:r w:rsidR="00CD5634">
              <w:t>632.44</w:t>
            </w:r>
          </w:p>
        </w:tc>
      </w:tr>
    </w:tbl>
    <w:p w14:paraId="7BB9AAED" w14:textId="5A4C2913" w:rsidR="003F4E77" w:rsidRPr="000E0516" w:rsidRDefault="008930D0" w:rsidP="003F4E77">
      <w:pPr>
        <w:spacing w:line="240" w:lineRule="auto"/>
        <w:ind w:firstLine="0"/>
        <w:rPr>
          <w:color w:val="2E5395"/>
          <w:sz w:val="32"/>
        </w:rPr>
      </w:pPr>
      <w:r w:rsidRPr="008930D0">
        <w:rPr>
          <w:color w:val="2E5395"/>
          <w:sz w:val="32"/>
        </w:rPr>
        <w:t xml:space="preserve">Summary </w:t>
      </w:r>
      <w:proofErr w:type="gramStart"/>
      <w:r w:rsidRPr="008930D0">
        <w:rPr>
          <w:color w:val="2E5395"/>
          <w:sz w:val="32"/>
        </w:rPr>
        <w:t>By</w:t>
      </w:r>
      <w:proofErr w:type="gramEnd"/>
      <w:r w:rsidRPr="008930D0">
        <w:rPr>
          <w:color w:val="2E5395"/>
          <w:sz w:val="32"/>
        </w:rPr>
        <w:t xml:space="preserve"> Quarter</w:t>
      </w:r>
    </w:p>
    <w:p w14:paraId="19C476AC" w14:textId="14106904" w:rsidR="00584905" w:rsidRDefault="00584905" w:rsidP="00584905">
      <w:pPr>
        <w:spacing w:line="240" w:lineRule="auto"/>
        <w:ind w:left="0" w:firstLine="0"/>
      </w:pPr>
    </w:p>
    <w:p w14:paraId="54997E11" w14:textId="05F7588A" w:rsidR="000E3612" w:rsidRDefault="000E3612" w:rsidP="000E3612">
      <w:pPr>
        <w:pStyle w:val="ListParagraph"/>
        <w:spacing w:line="240" w:lineRule="auto"/>
        <w:ind w:firstLine="0"/>
      </w:pPr>
      <w:r>
        <w:t>*</w:t>
      </w:r>
      <w:proofErr w:type="spellStart"/>
      <w:r w:rsidR="008B4209">
        <w:t>Reaon</w:t>
      </w:r>
      <w:proofErr w:type="spellEnd"/>
      <w:r w:rsidR="008B4209">
        <w:t xml:space="preserve"> for d</w:t>
      </w:r>
      <w:r>
        <w:t>rastic production variance</w:t>
      </w:r>
      <w:r w:rsidR="008B4209">
        <w:t xml:space="preserve"> is</w:t>
      </w:r>
      <w:r>
        <w:t xml:space="preserve"> </w:t>
      </w:r>
      <w:r w:rsidR="008B4209">
        <w:t>currently</w:t>
      </w:r>
      <w:r>
        <w:t xml:space="preserve"> being </w:t>
      </w:r>
      <w:r w:rsidR="008B4209">
        <w:t>determined</w:t>
      </w:r>
      <w:r>
        <w:t xml:space="preserve"> by </w:t>
      </w:r>
      <w:r w:rsidR="00F1152C">
        <w:t>BPi and Cal</w:t>
      </w:r>
      <w:r w:rsidR="008B4209">
        <w:t xml:space="preserve"> </w:t>
      </w:r>
      <w:r w:rsidR="00F1152C">
        <w:t>Solar.</w:t>
      </w:r>
    </w:p>
    <w:p w14:paraId="19B921B9" w14:textId="77777777" w:rsidR="00CE3959" w:rsidRDefault="00C57C89">
      <w:pPr>
        <w:pStyle w:val="Heading1"/>
        <w:ind w:left="219" w:hanging="233"/>
      </w:pPr>
      <w:r>
        <w:lastRenderedPageBreak/>
        <w:t xml:space="preserve">| Portfolio Performance </w:t>
      </w:r>
    </w:p>
    <w:p w14:paraId="6E4F67A8" w14:textId="26F9AB66" w:rsidR="00CE3959" w:rsidRDefault="00C57C89">
      <w:pPr>
        <w:spacing w:after="2" w:line="400" w:lineRule="auto"/>
        <w:ind w:left="-4"/>
      </w:pPr>
      <w:r>
        <w:t xml:space="preserve">The predicted energy output for the </w:t>
      </w:r>
      <w:proofErr w:type="gramStart"/>
      <w:r w:rsidR="003D0948">
        <w:t>Blue Sky</w:t>
      </w:r>
      <w:proofErr w:type="gramEnd"/>
      <w:r w:rsidR="003D0948">
        <w:t xml:space="preserve"> Utility 2017 II, LLC</w:t>
      </w:r>
      <w:r>
        <w:t xml:space="preserve"> project during </w:t>
      </w:r>
      <w:r w:rsidR="003440FD">
        <w:t>Apr-May</w:t>
      </w:r>
      <w:r>
        <w:t xml:space="preserve"> 201</w:t>
      </w:r>
      <w:r w:rsidR="00197B4C">
        <w:t>8</w:t>
      </w:r>
      <w:r>
        <w:t xml:space="preserve"> was </w:t>
      </w:r>
      <w:r w:rsidR="00330542">
        <w:rPr>
          <w:b/>
        </w:rPr>
        <w:t>951,092</w:t>
      </w:r>
      <w:r w:rsidR="005B0232">
        <w:rPr>
          <w:b/>
        </w:rPr>
        <w:t xml:space="preserve"> </w:t>
      </w:r>
      <w:r>
        <w:rPr>
          <w:b/>
        </w:rPr>
        <w:t>kWh</w:t>
      </w:r>
      <w:r>
        <w:t xml:space="preserve">.  The actual energy output for the </w:t>
      </w:r>
      <w:proofErr w:type="gramStart"/>
      <w:r w:rsidR="00E737FE">
        <w:t>Blue Sky</w:t>
      </w:r>
      <w:proofErr w:type="gramEnd"/>
      <w:r w:rsidR="00E737FE">
        <w:t xml:space="preserve"> Utility 2017 II, LLC </w:t>
      </w:r>
      <w:r>
        <w:t xml:space="preserve">project during </w:t>
      </w:r>
      <w:r w:rsidR="00F0260D">
        <w:t xml:space="preserve">Apr-May 2018 </w:t>
      </w:r>
      <w:r>
        <w:t xml:space="preserve">was </w:t>
      </w:r>
      <w:r w:rsidR="00330542">
        <w:rPr>
          <w:b/>
        </w:rPr>
        <w:t>791,975</w:t>
      </w:r>
      <w:r>
        <w:rPr>
          <w:b/>
        </w:rPr>
        <w:t xml:space="preserve"> kWh</w:t>
      </w:r>
      <w:r>
        <w:t xml:space="preserve">. </w:t>
      </w:r>
    </w:p>
    <w:p w14:paraId="11A88C3A" w14:textId="22ABC704" w:rsidR="00CA7CF4" w:rsidRDefault="00C57C89" w:rsidP="00B0033F">
      <w:pPr>
        <w:spacing w:after="341"/>
        <w:ind w:left="-4"/>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“predicted”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6250EB6C" w14:textId="77777777" w:rsidR="00CA7CF4" w:rsidRDefault="00CA7CF4">
      <w:pPr>
        <w:spacing w:after="341"/>
        <w:ind w:left="-4"/>
      </w:pPr>
    </w:p>
    <w:p w14:paraId="36588F4E" w14:textId="77777777" w:rsidR="00CE3959" w:rsidRDefault="00C57C89">
      <w:pPr>
        <w:pStyle w:val="Heading1"/>
        <w:ind w:left="219" w:hanging="233"/>
      </w:pPr>
      <w:r>
        <w:t xml:space="preserve">| Forecasted vs. Actual Energy </w:t>
      </w:r>
    </w:p>
    <w:p w14:paraId="5361925E" w14:textId="7C71D3FA" w:rsidR="00CE3959" w:rsidRDefault="00C57C89" w:rsidP="00524376">
      <w:pPr>
        <w:spacing w:after="0"/>
        <w:ind w:left="-4"/>
      </w:pPr>
      <w:r>
        <w:t>The following graphs shows performance (</w:t>
      </w:r>
      <w:r>
        <w:rPr>
          <w:i/>
        </w:rPr>
        <w:t>Actual</w:t>
      </w:r>
      <w:r>
        <w:t xml:space="preserve">-metered energy v. </w:t>
      </w:r>
      <w:r>
        <w:rPr>
          <w:i/>
        </w:rPr>
        <w:t>Predicted</w:t>
      </w:r>
      <w:r>
        <w:t>- PVSYST forecast) for Q</w:t>
      </w:r>
      <w:r w:rsidR="00CA7CF4">
        <w:t xml:space="preserve">2 </w:t>
      </w:r>
      <w:r>
        <w:t>201</w:t>
      </w:r>
      <w:r w:rsidR="007A2790">
        <w:t>8</w:t>
      </w:r>
      <w:r>
        <w:t>.</w:t>
      </w:r>
    </w:p>
    <w:p w14:paraId="35DE1542" w14:textId="77777777" w:rsidR="00684DE8" w:rsidRDefault="00684DE8" w:rsidP="00524376">
      <w:pPr>
        <w:spacing w:after="0"/>
        <w:ind w:left="-4"/>
      </w:pPr>
    </w:p>
    <w:p w14:paraId="6138FBC9" w14:textId="0F55E623" w:rsidR="00CE3959" w:rsidRDefault="00001A0A" w:rsidP="00CA7CF4">
      <w:pPr>
        <w:tabs>
          <w:tab w:val="center" w:pos="1741"/>
          <w:tab w:val="center" w:pos="4681"/>
          <w:tab w:val="right" w:pos="9365"/>
        </w:tabs>
        <w:spacing w:after="0" w:line="259" w:lineRule="auto"/>
        <w:ind w:left="0" w:right="-9" w:firstLine="0"/>
        <w:jc w:val="center"/>
      </w:pPr>
      <w:r>
        <w:rPr>
          <w:noProof/>
        </w:rPr>
        <w:drawing>
          <wp:inline distT="0" distB="0" distL="0" distR="0" wp14:anchorId="6D6A8642" wp14:editId="49FAECE5">
            <wp:extent cx="4438650" cy="3133725"/>
            <wp:effectExtent l="0" t="0" r="0" b="9525"/>
            <wp:docPr id="1" name="Chart 1">
              <a:extLst xmlns:a="http://schemas.openxmlformats.org/drawingml/2006/main">
                <a:ext uri="{FF2B5EF4-FFF2-40B4-BE49-F238E27FC236}">
                  <a16:creationId xmlns:a16="http://schemas.microsoft.com/office/drawing/2014/main" id="{C0FB58BD-5D76-4EFF-8DDE-658F8E4F1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77B66A" w14:textId="2E9E0BBA" w:rsidR="00CA7CF4" w:rsidRDefault="00CA7CF4" w:rsidP="0010303B">
      <w:pPr>
        <w:spacing w:after="242" w:line="259" w:lineRule="auto"/>
        <w:ind w:left="0" w:firstLine="0"/>
        <w:jc w:val="left"/>
        <w:rPr>
          <w:color w:val="2E5395"/>
          <w:sz w:val="32"/>
        </w:rPr>
      </w:pPr>
    </w:p>
    <w:p w14:paraId="0034A4EF" w14:textId="32FEAAF6" w:rsidR="00CA7CF4" w:rsidRDefault="00CA7CF4" w:rsidP="00FD559A">
      <w:pPr>
        <w:spacing w:after="242" w:line="259" w:lineRule="auto"/>
        <w:ind w:left="1" w:firstLine="0"/>
        <w:jc w:val="left"/>
        <w:rPr>
          <w:color w:val="2E5395"/>
          <w:sz w:val="32"/>
        </w:rPr>
      </w:pPr>
    </w:p>
    <w:p w14:paraId="6EF17648" w14:textId="40539CF8" w:rsidR="00B0033F" w:rsidRDefault="00B0033F" w:rsidP="00FD559A">
      <w:pPr>
        <w:spacing w:after="242" w:line="259" w:lineRule="auto"/>
        <w:ind w:left="1"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Style w:val="TableGrid"/>
        <w:tblpPr w:leftFromText="180" w:rightFromText="180" w:vertAnchor="text" w:horzAnchor="margin" w:tblpY="-71"/>
        <w:tblW w:w="9360" w:type="dxa"/>
        <w:tblInd w:w="0" w:type="dxa"/>
        <w:tblCellMar>
          <w:top w:w="47" w:type="dxa"/>
          <w:left w:w="107" w:type="dxa"/>
          <w:right w:w="50" w:type="dxa"/>
        </w:tblCellMar>
        <w:tblLook w:val="04A0" w:firstRow="1" w:lastRow="0" w:firstColumn="1" w:lastColumn="0" w:noHBand="0" w:noVBand="1"/>
      </w:tblPr>
      <w:tblGrid>
        <w:gridCol w:w="941"/>
        <w:gridCol w:w="1592"/>
        <w:gridCol w:w="1799"/>
        <w:gridCol w:w="2007"/>
        <w:gridCol w:w="1582"/>
        <w:gridCol w:w="1439"/>
      </w:tblGrid>
      <w:tr w:rsidR="003A0C70" w14:paraId="125E13EB" w14:textId="77777777" w:rsidTr="003A0C70">
        <w:trPr>
          <w:trHeight w:val="332"/>
        </w:trPr>
        <w:tc>
          <w:tcPr>
            <w:tcW w:w="941" w:type="dxa"/>
            <w:tcBorders>
              <w:top w:val="nil"/>
              <w:left w:val="single" w:sz="4" w:space="0" w:color="FFFFFF"/>
              <w:bottom w:val="single" w:sz="4" w:space="0" w:color="FFFFFF"/>
              <w:right w:val="single" w:sz="4" w:space="0" w:color="FFFFFF"/>
            </w:tcBorders>
            <w:shd w:val="clear" w:color="auto" w:fill="4471C4"/>
          </w:tcPr>
          <w:p w14:paraId="4D6360DE" w14:textId="77777777" w:rsidR="003A0C70" w:rsidRDefault="003A0C70" w:rsidP="003A0C70">
            <w:pPr>
              <w:spacing w:after="160" w:line="259" w:lineRule="auto"/>
              <w:ind w:left="0" w:firstLine="0"/>
              <w:jc w:val="left"/>
            </w:pPr>
          </w:p>
        </w:tc>
        <w:tc>
          <w:tcPr>
            <w:tcW w:w="1592" w:type="dxa"/>
            <w:tcBorders>
              <w:top w:val="nil"/>
              <w:left w:val="single" w:sz="4" w:space="0" w:color="FFFFFF"/>
              <w:bottom w:val="single" w:sz="4" w:space="0" w:color="FFFFFF"/>
              <w:right w:val="single" w:sz="4" w:space="0" w:color="FFFFFF"/>
            </w:tcBorders>
            <w:shd w:val="clear" w:color="auto" w:fill="4472C4" w:themeFill="accent1"/>
          </w:tcPr>
          <w:p w14:paraId="7888156A" w14:textId="77777777" w:rsidR="003A0C70" w:rsidRPr="000A1FF9" w:rsidRDefault="003A0C70" w:rsidP="003A0C70">
            <w:pPr>
              <w:spacing w:after="0" w:line="259" w:lineRule="auto"/>
              <w:ind w:left="4" w:firstLine="0"/>
              <w:jc w:val="center"/>
              <w:rPr>
                <w:color w:val="FFFFFF" w:themeColor="background1"/>
              </w:rPr>
            </w:pPr>
            <w:r w:rsidRPr="000A1FF9">
              <w:rPr>
                <w:b/>
                <w:color w:val="FFFFFF" w:themeColor="background1"/>
              </w:rPr>
              <w:t>Assumed Average Irradiance</w:t>
            </w:r>
          </w:p>
        </w:tc>
        <w:tc>
          <w:tcPr>
            <w:tcW w:w="1799" w:type="dxa"/>
            <w:tcBorders>
              <w:top w:val="nil"/>
              <w:left w:val="single" w:sz="4" w:space="0" w:color="FFFFFF"/>
              <w:bottom w:val="single" w:sz="4" w:space="0" w:color="FFFFFF"/>
              <w:right w:val="single" w:sz="4" w:space="0" w:color="FFFFFF"/>
            </w:tcBorders>
            <w:shd w:val="clear" w:color="auto" w:fill="4472C4" w:themeFill="accent1"/>
          </w:tcPr>
          <w:p w14:paraId="17AA6B83" w14:textId="77777777" w:rsidR="003A0C70" w:rsidRPr="000A1FF9" w:rsidRDefault="003A0C70" w:rsidP="003A0C70">
            <w:pPr>
              <w:spacing w:after="0" w:line="259" w:lineRule="auto"/>
              <w:ind w:left="16" w:firstLine="0"/>
              <w:jc w:val="center"/>
              <w:rPr>
                <w:color w:val="FFFFFF" w:themeColor="background1"/>
              </w:rPr>
            </w:pPr>
            <w:r w:rsidRPr="000A1FF9">
              <w:rPr>
                <w:b/>
                <w:color w:val="FFFFFF" w:themeColor="background1"/>
              </w:rPr>
              <w:t>Measured Average Irradiance</w:t>
            </w:r>
          </w:p>
        </w:tc>
        <w:tc>
          <w:tcPr>
            <w:tcW w:w="2007" w:type="dxa"/>
            <w:tcBorders>
              <w:top w:val="nil"/>
              <w:left w:val="single" w:sz="4" w:space="0" w:color="FFFFFF"/>
              <w:bottom w:val="single" w:sz="4" w:space="0" w:color="FFFFFF"/>
              <w:right w:val="single" w:sz="4" w:space="0" w:color="FFFFFF"/>
            </w:tcBorders>
            <w:shd w:val="clear" w:color="auto" w:fill="4472C4" w:themeFill="accent1"/>
          </w:tcPr>
          <w:p w14:paraId="7FEB388F"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Assumed Average   Temperature</w:t>
            </w:r>
          </w:p>
        </w:tc>
        <w:tc>
          <w:tcPr>
            <w:tcW w:w="1582" w:type="dxa"/>
            <w:tcBorders>
              <w:top w:val="nil"/>
              <w:left w:val="single" w:sz="4" w:space="0" w:color="FFFFFF"/>
              <w:bottom w:val="single" w:sz="4" w:space="0" w:color="FFFFFF"/>
              <w:right w:val="single" w:sz="4" w:space="0" w:color="FFFFFF"/>
            </w:tcBorders>
            <w:shd w:val="clear" w:color="auto" w:fill="4472C4" w:themeFill="accent1"/>
          </w:tcPr>
          <w:p w14:paraId="7DE5BA16"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 xml:space="preserve">Measured </w:t>
            </w:r>
            <w:proofErr w:type="gramStart"/>
            <w:r w:rsidRPr="000A1FF9">
              <w:rPr>
                <w:b/>
                <w:color w:val="FFFFFF" w:themeColor="background1"/>
              </w:rPr>
              <w:t>Average  Temperature</w:t>
            </w:r>
            <w:proofErr w:type="gramEnd"/>
          </w:p>
        </w:tc>
        <w:tc>
          <w:tcPr>
            <w:tcW w:w="1439" w:type="dxa"/>
            <w:tcBorders>
              <w:top w:val="nil"/>
              <w:left w:val="single" w:sz="4" w:space="0" w:color="FFFFFF"/>
              <w:bottom w:val="single" w:sz="4" w:space="0" w:color="FFFFFF"/>
              <w:right w:val="single" w:sz="4" w:space="0" w:color="FFFFFF"/>
            </w:tcBorders>
            <w:shd w:val="clear" w:color="auto" w:fill="4472C4" w:themeFill="accent1"/>
          </w:tcPr>
          <w:p w14:paraId="7120CCCF"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Expected kWh production variance*</w:t>
            </w:r>
          </w:p>
        </w:tc>
      </w:tr>
      <w:tr w:rsidR="003A0C70" w14:paraId="4E86DE00" w14:textId="77777777" w:rsidTr="003A0C70">
        <w:trPr>
          <w:trHeight w:val="310"/>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3E2ED572" w14:textId="77777777" w:rsidR="003A0C70" w:rsidRDefault="003A0C70" w:rsidP="003A0C70">
            <w:pPr>
              <w:spacing w:after="0" w:line="259" w:lineRule="auto"/>
              <w:ind w:left="0" w:firstLine="0"/>
            </w:pPr>
            <w:r>
              <w:rPr>
                <w:b/>
                <w:color w:val="FFFFFF"/>
              </w:rPr>
              <w:t xml:space="preserve">MONTH </w:t>
            </w:r>
          </w:p>
        </w:tc>
        <w:tc>
          <w:tcPr>
            <w:tcW w:w="1592" w:type="dxa"/>
            <w:tcBorders>
              <w:top w:val="single" w:sz="4" w:space="0" w:color="FFFFFF"/>
              <w:left w:val="single" w:sz="4" w:space="0" w:color="FFFFFF"/>
              <w:bottom w:val="single" w:sz="4" w:space="0" w:color="FFFFFF"/>
              <w:right w:val="single" w:sz="4" w:space="0" w:color="FFFFFF"/>
            </w:tcBorders>
            <w:shd w:val="clear" w:color="auto" w:fill="D9E1F3"/>
          </w:tcPr>
          <w:p w14:paraId="25BF3D4C" w14:textId="77777777" w:rsidR="003A0C70" w:rsidRDefault="003A0C70" w:rsidP="003A0C70">
            <w:pPr>
              <w:spacing w:after="0" w:line="259" w:lineRule="auto"/>
              <w:ind w:left="0" w:right="56" w:firstLine="0"/>
              <w:jc w:val="center"/>
            </w:pPr>
            <w:r w:rsidRPr="00EE5708">
              <w:t>W/m²</w:t>
            </w:r>
          </w:p>
        </w:tc>
        <w:tc>
          <w:tcPr>
            <w:tcW w:w="1799" w:type="dxa"/>
            <w:tcBorders>
              <w:top w:val="single" w:sz="4" w:space="0" w:color="FFFFFF"/>
              <w:left w:val="single" w:sz="4" w:space="0" w:color="FFFFFF"/>
              <w:bottom w:val="single" w:sz="4" w:space="0" w:color="FFFFFF"/>
              <w:right w:val="single" w:sz="4" w:space="0" w:color="FFFFFF"/>
            </w:tcBorders>
            <w:shd w:val="clear" w:color="auto" w:fill="D9E1F3"/>
          </w:tcPr>
          <w:p w14:paraId="349F6001" w14:textId="77777777" w:rsidR="003A0C70" w:rsidRDefault="003A0C70" w:rsidP="003A0C70">
            <w:pPr>
              <w:spacing w:after="0" w:line="259" w:lineRule="auto"/>
              <w:ind w:left="0" w:right="56" w:firstLine="0"/>
              <w:jc w:val="center"/>
            </w:pPr>
            <w:r w:rsidRPr="00EE5708">
              <w:t>W/m²</w:t>
            </w:r>
          </w:p>
        </w:tc>
        <w:tc>
          <w:tcPr>
            <w:tcW w:w="2007" w:type="dxa"/>
            <w:tcBorders>
              <w:top w:val="single" w:sz="4" w:space="0" w:color="FFFFFF"/>
              <w:left w:val="single" w:sz="4" w:space="0" w:color="FFFFFF"/>
              <w:bottom w:val="single" w:sz="4" w:space="0" w:color="FFFFFF"/>
              <w:right w:val="single" w:sz="4" w:space="0" w:color="FFFFFF"/>
            </w:tcBorders>
            <w:shd w:val="clear" w:color="auto" w:fill="D9E1F3"/>
          </w:tcPr>
          <w:p w14:paraId="6132E692" w14:textId="77777777" w:rsidR="003A0C70" w:rsidRDefault="003A0C70" w:rsidP="003A0C70">
            <w:pPr>
              <w:spacing w:after="0" w:line="259" w:lineRule="auto"/>
              <w:ind w:left="0" w:right="54" w:firstLine="0"/>
              <w:jc w:val="center"/>
            </w:pPr>
            <w:r w:rsidRPr="00332DEC">
              <w:t>°F</w:t>
            </w:r>
          </w:p>
        </w:tc>
        <w:tc>
          <w:tcPr>
            <w:tcW w:w="1582" w:type="dxa"/>
            <w:tcBorders>
              <w:top w:val="single" w:sz="4" w:space="0" w:color="FFFFFF"/>
              <w:left w:val="single" w:sz="4" w:space="0" w:color="FFFFFF"/>
              <w:bottom w:val="single" w:sz="4" w:space="0" w:color="FFFFFF"/>
              <w:right w:val="single" w:sz="4" w:space="0" w:color="FFFFFF"/>
            </w:tcBorders>
            <w:shd w:val="clear" w:color="auto" w:fill="D9E1F3"/>
          </w:tcPr>
          <w:p w14:paraId="78C45191" w14:textId="77777777" w:rsidR="003A0C70" w:rsidRDefault="003A0C70" w:rsidP="003A0C70">
            <w:pPr>
              <w:spacing w:after="0" w:line="259" w:lineRule="auto"/>
              <w:ind w:left="0" w:right="54" w:firstLine="0"/>
              <w:jc w:val="center"/>
            </w:pPr>
            <w:r w:rsidRPr="00332DEC">
              <w:t>°F</w:t>
            </w:r>
          </w:p>
        </w:tc>
        <w:tc>
          <w:tcPr>
            <w:tcW w:w="1439" w:type="dxa"/>
            <w:tcBorders>
              <w:top w:val="single" w:sz="4" w:space="0" w:color="FFFFFF"/>
              <w:left w:val="single" w:sz="4" w:space="0" w:color="FFFFFF"/>
              <w:bottom w:val="single" w:sz="4" w:space="0" w:color="FFFFFF"/>
              <w:right w:val="single" w:sz="4" w:space="0" w:color="FFFFFF"/>
            </w:tcBorders>
            <w:shd w:val="clear" w:color="auto" w:fill="D9E1F3"/>
          </w:tcPr>
          <w:p w14:paraId="1E7A2269" w14:textId="77777777" w:rsidR="003A0C70" w:rsidRPr="00332DEC" w:rsidRDefault="003A0C70" w:rsidP="003A0C70">
            <w:pPr>
              <w:spacing w:after="0" w:line="259" w:lineRule="auto"/>
              <w:ind w:left="0" w:right="54" w:firstLine="0"/>
              <w:jc w:val="center"/>
            </w:pPr>
            <w:r>
              <w:t>(+/-) kWh</w:t>
            </w:r>
          </w:p>
        </w:tc>
      </w:tr>
      <w:tr w:rsidR="003A0C70" w14:paraId="2375B637" w14:textId="77777777" w:rsidTr="003A0C70">
        <w:trPr>
          <w:trHeight w:val="295"/>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26FF8742" w14:textId="77777777" w:rsidR="003A0C70" w:rsidRDefault="003A0C70" w:rsidP="003A0C70">
            <w:pPr>
              <w:spacing w:after="0" w:line="259" w:lineRule="auto"/>
              <w:ind w:left="0" w:right="57" w:firstLine="0"/>
              <w:jc w:val="right"/>
            </w:pPr>
            <w:r>
              <w:rPr>
                <w:b/>
                <w:color w:val="FFFFFF"/>
              </w:rPr>
              <w:t xml:space="preserve">18-Apr </w:t>
            </w:r>
          </w:p>
        </w:tc>
        <w:tc>
          <w:tcPr>
            <w:tcW w:w="1592" w:type="dxa"/>
            <w:tcBorders>
              <w:top w:val="single" w:sz="4" w:space="0" w:color="FFFFFF"/>
              <w:left w:val="single" w:sz="4" w:space="0" w:color="FFFFFF"/>
              <w:bottom w:val="single" w:sz="4" w:space="0" w:color="FFFFFF"/>
              <w:right w:val="single" w:sz="4" w:space="0" w:color="FFFFFF"/>
            </w:tcBorders>
            <w:shd w:val="clear" w:color="auto" w:fill="B4C5E7"/>
          </w:tcPr>
          <w:p w14:paraId="33F4BFFA" w14:textId="6533DE4D" w:rsidR="003A0C70" w:rsidRDefault="007E663C" w:rsidP="003A0C70">
            <w:pPr>
              <w:spacing w:after="0" w:line="259" w:lineRule="auto"/>
              <w:ind w:left="0" w:right="58" w:firstLine="0"/>
              <w:jc w:val="center"/>
            </w:pPr>
            <w:r>
              <w:t>198.70</w:t>
            </w:r>
            <w:r w:rsidR="003A0C70">
              <w:t xml:space="preserve"> </w:t>
            </w:r>
          </w:p>
        </w:tc>
        <w:tc>
          <w:tcPr>
            <w:tcW w:w="1799" w:type="dxa"/>
            <w:tcBorders>
              <w:top w:val="single" w:sz="4" w:space="0" w:color="FFFFFF"/>
              <w:left w:val="single" w:sz="4" w:space="0" w:color="FFFFFF"/>
              <w:bottom w:val="single" w:sz="4" w:space="0" w:color="FFFFFF"/>
              <w:right w:val="single" w:sz="4" w:space="0" w:color="FFFFFF"/>
            </w:tcBorders>
            <w:shd w:val="clear" w:color="auto" w:fill="B4C5E7"/>
          </w:tcPr>
          <w:p w14:paraId="4F759ADC" w14:textId="5F9E172A" w:rsidR="003A0C70" w:rsidRPr="00A676D8" w:rsidRDefault="003A0C70" w:rsidP="003A0C70">
            <w:pPr>
              <w:spacing w:after="0" w:line="240" w:lineRule="auto"/>
              <w:ind w:left="0" w:firstLine="0"/>
            </w:pPr>
            <w:r>
              <w:t xml:space="preserve">         </w:t>
            </w:r>
            <w:r w:rsidR="00200434">
              <w:t>190.55</w:t>
            </w:r>
            <w:r>
              <w:t xml:space="preserve"> </w:t>
            </w:r>
          </w:p>
          <w:p w14:paraId="6DC2B6DF" w14:textId="77777777" w:rsidR="003A0C70" w:rsidRDefault="003A0C70" w:rsidP="003A0C70">
            <w:pPr>
              <w:spacing w:after="0" w:line="259" w:lineRule="auto"/>
              <w:ind w:left="0" w:right="58" w:firstLine="0"/>
            </w:pPr>
          </w:p>
        </w:tc>
        <w:tc>
          <w:tcPr>
            <w:tcW w:w="2007" w:type="dxa"/>
            <w:tcBorders>
              <w:top w:val="single" w:sz="4" w:space="0" w:color="FFFFFF"/>
              <w:left w:val="single" w:sz="4" w:space="0" w:color="FFFFFF"/>
              <w:bottom w:val="single" w:sz="4" w:space="0" w:color="FFFFFF"/>
              <w:right w:val="single" w:sz="4" w:space="0" w:color="FFFFFF"/>
            </w:tcBorders>
            <w:shd w:val="clear" w:color="auto" w:fill="B4C5E7"/>
          </w:tcPr>
          <w:p w14:paraId="61EE77C1" w14:textId="3A44A65F" w:rsidR="003A0C70" w:rsidRPr="00B14A79" w:rsidRDefault="00200434" w:rsidP="003A0C70">
            <w:pPr>
              <w:spacing w:after="0" w:line="259" w:lineRule="auto"/>
              <w:ind w:left="0" w:right="59" w:firstLine="0"/>
              <w:jc w:val="center"/>
            </w:pPr>
            <w:r>
              <w:t>7</w:t>
            </w:r>
            <w:r w:rsidR="002654F9">
              <w:t>3.51</w:t>
            </w:r>
          </w:p>
        </w:tc>
        <w:tc>
          <w:tcPr>
            <w:tcW w:w="1582" w:type="dxa"/>
            <w:tcBorders>
              <w:top w:val="single" w:sz="4" w:space="0" w:color="FFFFFF"/>
              <w:left w:val="single" w:sz="4" w:space="0" w:color="FFFFFF"/>
              <w:bottom w:val="single" w:sz="4" w:space="0" w:color="FFFFFF"/>
              <w:right w:val="single" w:sz="4" w:space="0" w:color="FFFFFF"/>
            </w:tcBorders>
            <w:shd w:val="clear" w:color="auto" w:fill="B4C5E7"/>
          </w:tcPr>
          <w:p w14:paraId="147512F0" w14:textId="3C5A3ED9" w:rsidR="003A0C70" w:rsidRPr="00B14A79" w:rsidRDefault="002654F9" w:rsidP="003A0C70">
            <w:pPr>
              <w:spacing w:after="0" w:line="259" w:lineRule="auto"/>
              <w:ind w:left="0" w:right="59" w:firstLine="0"/>
              <w:jc w:val="center"/>
            </w:pPr>
            <w:r>
              <w:t>70.59</w:t>
            </w:r>
          </w:p>
        </w:tc>
        <w:tc>
          <w:tcPr>
            <w:tcW w:w="1439" w:type="dxa"/>
            <w:tcBorders>
              <w:top w:val="single" w:sz="4" w:space="0" w:color="FFFFFF"/>
              <w:left w:val="single" w:sz="4" w:space="0" w:color="FFFFFF"/>
              <w:bottom w:val="single" w:sz="4" w:space="0" w:color="FFFFFF"/>
              <w:right w:val="single" w:sz="4" w:space="0" w:color="FFFFFF"/>
            </w:tcBorders>
            <w:shd w:val="clear" w:color="auto" w:fill="B4C5E7"/>
          </w:tcPr>
          <w:p w14:paraId="6A644346" w14:textId="7A9AEE75" w:rsidR="003A0C70" w:rsidRDefault="000E5101" w:rsidP="003A0C70">
            <w:pPr>
              <w:spacing w:after="0" w:line="259" w:lineRule="auto"/>
              <w:ind w:left="0" w:right="59" w:firstLine="0"/>
              <w:jc w:val="center"/>
            </w:pPr>
            <w:r>
              <w:t>-</w:t>
            </w:r>
            <w:r w:rsidR="003A0C70">
              <w:t xml:space="preserve"> </w:t>
            </w:r>
            <w:r w:rsidR="003C229D">
              <w:t>1</w:t>
            </w:r>
            <w:r w:rsidR="00E801AE">
              <w:t>1,272</w:t>
            </w:r>
          </w:p>
        </w:tc>
      </w:tr>
      <w:tr w:rsidR="003A0C70" w14:paraId="55F1FF4B" w14:textId="77777777" w:rsidTr="003A0C70">
        <w:trPr>
          <w:trHeight w:val="295"/>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75DC1107" w14:textId="77777777" w:rsidR="003A0C70" w:rsidRDefault="003A0C70" w:rsidP="003A0C70">
            <w:pPr>
              <w:spacing w:after="0" w:line="259" w:lineRule="auto"/>
              <w:ind w:left="0" w:right="55" w:firstLine="0"/>
              <w:jc w:val="right"/>
            </w:pPr>
            <w:r>
              <w:rPr>
                <w:b/>
                <w:color w:val="FFFFFF"/>
              </w:rPr>
              <w:t xml:space="preserve">18-May </w:t>
            </w:r>
          </w:p>
        </w:tc>
        <w:tc>
          <w:tcPr>
            <w:tcW w:w="1592" w:type="dxa"/>
            <w:tcBorders>
              <w:top w:val="single" w:sz="4" w:space="0" w:color="FFFFFF"/>
              <w:left w:val="single" w:sz="4" w:space="0" w:color="FFFFFF"/>
              <w:bottom w:val="single" w:sz="4" w:space="0" w:color="FFFFFF"/>
              <w:right w:val="single" w:sz="4" w:space="0" w:color="FFFFFF"/>
            </w:tcBorders>
            <w:shd w:val="clear" w:color="auto" w:fill="D9E1F3"/>
          </w:tcPr>
          <w:p w14:paraId="16862A76" w14:textId="22B14B26" w:rsidR="003A0C70" w:rsidRDefault="00200434" w:rsidP="003A0C70">
            <w:pPr>
              <w:spacing w:after="0" w:line="259" w:lineRule="auto"/>
              <w:ind w:left="0" w:right="58" w:firstLine="0"/>
              <w:jc w:val="center"/>
            </w:pPr>
            <w:r>
              <w:t>222.80</w:t>
            </w:r>
            <w:r w:rsidR="003A0C70">
              <w:t xml:space="preserve"> </w:t>
            </w:r>
          </w:p>
        </w:tc>
        <w:tc>
          <w:tcPr>
            <w:tcW w:w="1799" w:type="dxa"/>
            <w:tcBorders>
              <w:top w:val="single" w:sz="4" w:space="0" w:color="FFFFFF"/>
              <w:left w:val="single" w:sz="4" w:space="0" w:color="FFFFFF"/>
              <w:bottom w:val="single" w:sz="4" w:space="0" w:color="FFFFFF"/>
              <w:right w:val="single" w:sz="4" w:space="0" w:color="FFFFFF"/>
            </w:tcBorders>
            <w:shd w:val="clear" w:color="auto" w:fill="D9E1F3"/>
          </w:tcPr>
          <w:p w14:paraId="3417C084" w14:textId="4A8DEB72" w:rsidR="003A0C70" w:rsidRPr="00A676D8" w:rsidRDefault="003A0C70" w:rsidP="003A0C70">
            <w:pPr>
              <w:spacing w:after="0" w:line="240" w:lineRule="auto"/>
              <w:ind w:left="0" w:firstLine="0"/>
            </w:pPr>
            <w:r>
              <w:t xml:space="preserve">        </w:t>
            </w:r>
            <w:r w:rsidR="00200434">
              <w:t>218.31</w:t>
            </w:r>
            <w:r>
              <w:t xml:space="preserve"> </w:t>
            </w:r>
          </w:p>
          <w:p w14:paraId="0E416504" w14:textId="77777777" w:rsidR="003A0C70" w:rsidRDefault="003A0C70" w:rsidP="003A0C70">
            <w:pPr>
              <w:spacing w:after="0" w:line="259" w:lineRule="auto"/>
              <w:ind w:left="0" w:right="58" w:firstLine="0"/>
            </w:pPr>
          </w:p>
        </w:tc>
        <w:tc>
          <w:tcPr>
            <w:tcW w:w="2007" w:type="dxa"/>
            <w:tcBorders>
              <w:top w:val="single" w:sz="4" w:space="0" w:color="FFFFFF"/>
              <w:left w:val="single" w:sz="4" w:space="0" w:color="FFFFFF"/>
              <w:bottom w:val="single" w:sz="4" w:space="0" w:color="FFFFFF"/>
              <w:right w:val="single" w:sz="4" w:space="0" w:color="FFFFFF"/>
            </w:tcBorders>
            <w:shd w:val="clear" w:color="auto" w:fill="D9E1F3"/>
          </w:tcPr>
          <w:p w14:paraId="7DCD14DA" w14:textId="1819C877" w:rsidR="003A0C70" w:rsidRDefault="002654F9" w:rsidP="003A0C70">
            <w:pPr>
              <w:spacing w:after="0" w:line="259" w:lineRule="auto"/>
              <w:ind w:left="0" w:right="59" w:firstLine="0"/>
              <w:jc w:val="center"/>
            </w:pPr>
            <w:r>
              <w:t>79.29</w:t>
            </w:r>
          </w:p>
        </w:tc>
        <w:tc>
          <w:tcPr>
            <w:tcW w:w="1582" w:type="dxa"/>
            <w:tcBorders>
              <w:top w:val="single" w:sz="4" w:space="0" w:color="FFFFFF"/>
              <w:left w:val="single" w:sz="4" w:space="0" w:color="FFFFFF"/>
              <w:bottom w:val="single" w:sz="4" w:space="0" w:color="FFFFFF"/>
              <w:right w:val="single" w:sz="4" w:space="0" w:color="FFFFFF"/>
            </w:tcBorders>
            <w:shd w:val="clear" w:color="auto" w:fill="D9E1F3"/>
          </w:tcPr>
          <w:p w14:paraId="3FA5FD8F" w14:textId="26C3ED91" w:rsidR="003A0C70" w:rsidRDefault="002654F9" w:rsidP="003A0C70">
            <w:pPr>
              <w:spacing w:after="0" w:line="259" w:lineRule="auto"/>
              <w:ind w:left="0" w:right="59" w:firstLine="0"/>
              <w:jc w:val="center"/>
            </w:pPr>
            <w:r>
              <w:t>76.63</w:t>
            </w:r>
          </w:p>
        </w:tc>
        <w:tc>
          <w:tcPr>
            <w:tcW w:w="1439" w:type="dxa"/>
            <w:tcBorders>
              <w:top w:val="single" w:sz="4" w:space="0" w:color="FFFFFF"/>
              <w:left w:val="single" w:sz="4" w:space="0" w:color="FFFFFF"/>
              <w:bottom w:val="single" w:sz="4" w:space="0" w:color="FFFFFF"/>
              <w:right w:val="single" w:sz="4" w:space="0" w:color="FFFFFF"/>
            </w:tcBorders>
            <w:shd w:val="clear" w:color="auto" w:fill="D9E1F3"/>
          </w:tcPr>
          <w:p w14:paraId="5DFD3548" w14:textId="5031AEBF" w:rsidR="003A0C70" w:rsidRDefault="000E5101" w:rsidP="003A0C70">
            <w:pPr>
              <w:spacing w:after="0" w:line="259" w:lineRule="auto"/>
              <w:ind w:left="0" w:right="59" w:firstLine="0"/>
              <w:jc w:val="center"/>
            </w:pPr>
            <w:r>
              <w:t>-</w:t>
            </w:r>
            <w:r w:rsidR="003A0C70">
              <w:t xml:space="preserve"> </w:t>
            </w:r>
            <w:r w:rsidR="00E801AE">
              <w:t>7,802</w:t>
            </w:r>
          </w:p>
        </w:tc>
      </w:tr>
      <w:tr w:rsidR="003A0C70" w14:paraId="152B2AF7" w14:textId="77777777" w:rsidTr="003A0C70">
        <w:trPr>
          <w:trHeight w:val="66"/>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3FDBCEEA" w14:textId="77777777" w:rsidR="003A0C70" w:rsidRDefault="003A0C70" w:rsidP="003A0C70">
            <w:pPr>
              <w:spacing w:after="0" w:line="259" w:lineRule="auto"/>
              <w:ind w:left="65" w:firstLine="0"/>
              <w:jc w:val="left"/>
            </w:pPr>
            <w:r>
              <w:rPr>
                <w:b/>
                <w:color w:val="FFFFFF"/>
              </w:rPr>
              <w:t xml:space="preserve">18-Jun </w:t>
            </w:r>
          </w:p>
        </w:tc>
        <w:tc>
          <w:tcPr>
            <w:tcW w:w="1592" w:type="dxa"/>
            <w:tcBorders>
              <w:top w:val="single" w:sz="4" w:space="0" w:color="FFFFFF"/>
              <w:left w:val="single" w:sz="4" w:space="0" w:color="FFFFFF"/>
              <w:bottom w:val="single" w:sz="4" w:space="0" w:color="FFFFFF"/>
              <w:right w:val="single" w:sz="4" w:space="0" w:color="FFFFFF"/>
            </w:tcBorders>
            <w:shd w:val="clear" w:color="auto" w:fill="B4C5E7"/>
          </w:tcPr>
          <w:p w14:paraId="6E9DCBB5" w14:textId="658AE19C" w:rsidR="003A0C70" w:rsidRPr="00E20083" w:rsidRDefault="003A0C70" w:rsidP="003A0C70">
            <w:pPr>
              <w:spacing w:after="0" w:line="259" w:lineRule="auto"/>
              <w:ind w:left="0" w:right="58" w:firstLine="0"/>
              <w:jc w:val="left"/>
            </w:pPr>
            <w:r>
              <w:t xml:space="preserve">         2</w:t>
            </w:r>
            <w:r w:rsidR="00200434">
              <w:t>37.10</w:t>
            </w:r>
            <w:r>
              <w:t xml:space="preserve"> </w:t>
            </w:r>
          </w:p>
          <w:p w14:paraId="369CE3C1" w14:textId="77777777" w:rsidR="003A0C70" w:rsidRDefault="003A0C70" w:rsidP="003A0C70">
            <w:pPr>
              <w:spacing w:after="0" w:line="259" w:lineRule="auto"/>
              <w:ind w:left="0" w:right="58" w:firstLine="0"/>
              <w:jc w:val="center"/>
            </w:pPr>
          </w:p>
        </w:tc>
        <w:tc>
          <w:tcPr>
            <w:tcW w:w="1799" w:type="dxa"/>
            <w:tcBorders>
              <w:top w:val="single" w:sz="4" w:space="0" w:color="FFFFFF"/>
              <w:left w:val="single" w:sz="4" w:space="0" w:color="FFFFFF"/>
              <w:bottom w:val="single" w:sz="4" w:space="0" w:color="FFFFFF"/>
              <w:right w:val="single" w:sz="4" w:space="0" w:color="FFFFFF"/>
            </w:tcBorders>
            <w:shd w:val="clear" w:color="auto" w:fill="B4C5E7"/>
          </w:tcPr>
          <w:p w14:paraId="3BDA2679" w14:textId="68B195DF" w:rsidR="003A0C70" w:rsidRPr="00A676D8" w:rsidRDefault="003A0C70" w:rsidP="003A0C70">
            <w:pPr>
              <w:spacing w:after="0" w:line="259" w:lineRule="auto"/>
              <w:ind w:left="0" w:right="58" w:firstLine="0"/>
            </w:pPr>
            <w:r>
              <w:t xml:space="preserve">         2</w:t>
            </w:r>
            <w:r w:rsidR="00200434">
              <w:t>30.18</w:t>
            </w:r>
            <w:r>
              <w:t xml:space="preserve"> </w:t>
            </w:r>
          </w:p>
          <w:p w14:paraId="3B02D51C" w14:textId="77777777" w:rsidR="003A0C70" w:rsidRDefault="003A0C70" w:rsidP="003A0C70">
            <w:pPr>
              <w:spacing w:after="0" w:line="259" w:lineRule="auto"/>
              <w:ind w:left="0" w:right="58" w:firstLine="0"/>
            </w:pPr>
          </w:p>
        </w:tc>
        <w:tc>
          <w:tcPr>
            <w:tcW w:w="2007" w:type="dxa"/>
            <w:tcBorders>
              <w:top w:val="single" w:sz="4" w:space="0" w:color="FFFFFF"/>
              <w:left w:val="single" w:sz="4" w:space="0" w:color="FFFFFF"/>
              <w:bottom w:val="single" w:sz="4" w:space="0" w:color="FFFFFF"/>
              <w:right w:val="single" w:sz="4" w:space="0" w:color="FFFFFF"/>
            </w:tcBorders>
            <w:shd w:val="clear" w:color="auto" w:fill="B4C5E7"/>
          </w:tcPr>
          <w:p w14:paraId="76B67540" w14:textId="253CF756" w:rsidR="003A0C70" w:rsidRDefault="002654F9" w:rsidP="003A0C70">
            <w:pPr>
              <w:spacing w:after="0" w:line="259" w:lineRule="auto"/>
              <w:ind w:left="40" w:right="58" w:firstLine="0"/>
              <w:jc w:val="center"/>
            </w:pPr>
            <w:r>
              <w:t>88.33</w:t>
            </w:r>
          </w:p>
        </w:tc>
        <w:tc>
          <w:tcPr>
            <w:tcW w:w="1582" w:type="dxa"/>
            <w:tcBorders>
              <w:top w:val="single" w:sz="4" w:space="0" w:color="FFFFFF"/>
              <w:left w:val="single" w:sz="4" w:space="0" w:color="FFFFFF"/>
              <w:bottom w:val="single" w:sz="4" w:space="0" w:color="FFFFFF"/>
              <w:right w:val="single" w:sz="4" w:space="0" w:color="FFFFFF"/>
            </w:tcBorders>
            <w:shd w:val="clear" w:color="auto" w:fill="B4C5E7"/>
          </w:tcPr>
          <w:p w14:paraId="50BD0F89" w14:textId="7425F1EF" w:rsidR="003A0C70" w:rsidRDefault="002654F9" w:rsidP="003A0C70">
            <w:pPr>
              <w:spacing w:after="0" w:line="259" w:lineRule="auto"/>
              <w:ind w:left="40" w:right="58" w:firstLine="0"/>
              <w:jc w:val="center"/>
            </w:pPr>
            <w:r>
              <w:t>84.47</w:t>
            </w:r>
          </w:p>
        </w:tc>
        <w:tc>
          <w:tcPr>
            <w:tcW w:w="1439" w:type="dxa"/>
            <w:tcBorders>
              <w:top w:val="single" w:sz="4" w:space="0" w:color="FFFFFF"/>
              <w:left w:val="single" w:sz="4" w:space="0" w:color="FFFFFF"/>
              <w:bottom w:val="single" w:sz="4" w:space="0" w:color="FFFFFF"/>
              <w:right w:val="single" w:sz="4" w:space="0" w:color="FFFFFF"/>
            </w:tcBorders>
            <w:shd w:val="clear" w:color="auto" w:fill="B4C5E7"/>
          </w:tcPr>
          <w:p w14:paraId="0009DB35" w14:textId="57D01346" w:rsidR="003A0C70" w:rsidRDefault="003A0C70" w:rsidP="003A0C70">
            <w:pPr>
              <w:spacing w:after="0" w:line="259" w:lineRule="auto"/>
              <w:ind w:left="40" w:right="58" w:firstLine="0"/>
            </w:pPr>
            <w:r>
              <w:t xml:space="preserve">     </w:t>
            </w:r>
            <w:r w:rsidR="000E5101">
              <w:t>-</w:t>
            </w:r>
            <w:r>
              <w:t xml:space="preserve"> </w:t>
            </w:r>
            <w:r w:rsidR="00E801AE">
              <w:t>11,621</w:t>
            </w:r>
          </w:p>
        </w:tc>
      </w:tr>
    </w:tbl>
    <w:p w14:paraId="460D3888" w14:textId="77777777" w:rsidR="00684DE8" w:rsidRDefault="00684DE8" w:rsidP="00F0260D">
      <w:pPr>
        <w:ind w:left="-4"/>
        <w:rPr>
          <w:color w:val="auto"/>
        </w:rPr>
      </w:pPr>
    </w:p>
    <w:p w14:paraId="6D5F03AE" w14:textId="77777777" w:rsidR="00684DE8" w:rsidRDefault="00684DE8" w:rsidP="00F0260D">
      <w:pPr>
        <w:ind w:left="-4"/>
        <w:rPr>
          <w:color w:val="auto"/>
        </w:rPr>
      </w:pPr>
    </w:p>
    <w:p w14:paraId="05250AF3" w14:textId="77777777" w:rsidR="00684DE8" w:rsidRDefault="00684DE8" w:rsidP="00F0260D">
      <w:pPr>
        <w:ind w:left="-4"/>
        <w:rPr>
          <w:color w:val="auto"/>
        </w:rPr>
      </w:pPr>
    </w:p>
    <w:p w14:paraId="20D708FE" w14:textId="77777777" w:rsidR="00684DE8" w:rsidRDefault="00684DE8" w:rsidP="00F0260D">
      <w:pPr>
        <w:ind w:left="-4"/>
        <w:rPr>
          <w:color w:val="auto"/>
        </w:rPr>
      </w:pPr>
    </w:p>
    <w:p w14:paraId="0897276C" w14:textId="77777777" w:rsidR="00684DE8" w:rsidRDefault="00684DE8" w:rsidP="00F0260D">
      <w:pPr>
        <w:ind w:left="-4"/>
        <w:rPr>
          <w:color w:val="auto"/>
        </w:rPr>
      </w:pPr>
    </w:p>
    <w:p w14:paraId="30B8AD9D" w14:textId="77777777" w:rsidR="00684DE8" w:rsidRDefault="00684DE8" w:rsidP="00F0260D">
      <w:pPr>
        <w:ind w:left="-4"/>
        <w:rPr>
          <w:color w:val="auto"/>
        </w:rPr>
      </w:pPr>
    </w:p>
    <w:p w14:paraId="080AE750" w14:textId="77777777" w:rsidR="00684DE8" w:rsidRDefault="00684DE8" w:rsidP="00F0260D">
      <w:pPr>
        <w:ind w:left="-4"/>
        <w:rPr>
          <w:color w:val="auto"/>
        </w:rPr>
      </w:pPr>
    </w:p>
    <w:p w14:paraId="5165650C" w14:textId="77777777" w:rsidR="00684DE8" w:rsidRDefault="00684DE8" w:rsidP="00F0260D">
      <w:pPr>
        <w:ind w:left="-4"/>
        <w:rPr>
          <w:color w:val="auto"/>
        </w:rPr>
      </w:pPr>
    </w:p>
    <w:p w14:paraId="751D74C4" w14:textId="5FD36E4B" w:rsidR="00684DE8" w:rsidRDefault="00152C75" w:rsidP="003C229D">
      <w:pPr>
        <w:spacing w:line="240" w:lineRule="auto"/>
        <w:ind w:left="-4"/>
        <w:rPr>
          <w:color w:val="auto"/>
        </w:rPr>
      </w:pPr>
      <w:r>
        <w:rPr>
          <w:color w:val="auto"/>
        </w:rPr>
        <w:t>*</w:t>
      </w:r>
      <w:r w:rsidR="00B0033F">
        <w:rPr>
          <w:color w:val="auto"/>
        </w:rPr>
        <w:t xml:space="preserve"> </w:t>
      </w:r>
      <w:r w:rsidR="002654F9">
        <w:rPr>
          <w:color w:val="auto"/>
        </w:rPr>
        <w:t xml:space="preserve">The </w:t>
      </w:r>
      <w:r w:rsidR="005564BB">
        <w:rPr>
          <w:color w:val="auto"/>
        </w:rPr>
        <w:t>temperature</w:t>
      </w:r>
      <w:r w:rsidR="002654F9">
        <w:rPr>
          <w:color w:val="auto"/>
        </w:rPr>
        <w:t xml:space="preserve"> </w:t>
      </w:r>
      <w:r w:rsidR="005564BB">
        <w:rPr>
          <w:color w:val="auto"/>
        </w:rPr>
        <w:t xml:space="preserve">and </w:t>
      </w:r>
      <w:r w:rsidR="005564BB" w:rsidRPr="00EE5708">
        <w:t>W/m²</w:t>
      </w:r>
      <w:r w:rsidR="002654F9">
        <w:rPr>
          <w:color w:val="auto"/>
        </w:rPr>
        <w:t xml:space="preserve"> </w:t>
      </w:r>
      <w:r w:rsidR="00C759E1">
        <w:rPr>
          <w:color w:val="auto"/>
        </w:rPr>
        <w:t xml:space="preserve">irradiance </w:t>
      </w:r>
      <w:r w:rsidR="005564BB">
        <w:rPr>
          <w:color w:val="auto"/>
        </w:rPr>
        <w:t>were</w:t>
      </w:r>
      <w:r w:rsidR="00C759E1">
        <w:rPr>
          <w:color w:val="auto"/>
        </w:rPr>
        <w:t xml:space="preserve"> lower than anticipated. These environmental factors </w:t>
      </w:r>
      <w:r w:rsidR="004462A0">
        <w:rPr>
          <w:color w:val="auto"/>
        </w:rPr>
        <w:t>and</w:t>
      </w:r>
      <w:r w:rsidR="00C759E1">
        <w:rPr>
          <w:color w:val="auto"/>
        </w:rPr>
        <w:t xml:space="preserve"> delayed O&amp;M panel washing contributed to the system’s underperformance.</w:t>
      </w:r>
    </w:p>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t xml:space="preserve">| Operations &amp; Maintenance  </w:t>
      </w:r>
    </w:p>
    <w:p w14:paraId="7BE6E587" w14:textId="27CD13EF" w:rsidR="00CE3959" w:rsidRDefault="00C57C89">
      <w:pPr>
        <w:ind w:left="-4"/>
      </w:pPr>
      <w:r>
        <w:t>The following table details all operations/maintenance related issues and corrective actions for Q</w:t>
      </w:r>
      <w:r w:rsidR="00F0260D">
        <w:t>2</w:t>
      </w:r>
      <w:r>
        <w:t xml:space="preserve"> 201</w:t>
      </w:r>
      <w:r w:rsidR="00F0260D">
        <w:t>8</w:t>
      </w:r>
      <w:r>
        <w:t xml:space="preserve">.  </w:t>
      </w:r>
    </w:p>
    <w:p w14:paraId="64006DB4" w14:textId="77777777" w:rsidR="00CE3959" w:rsidRDefault="00C57C89">
      <w:pPr>
        <w:spacing w:after="173" w:line="259" w:lineRule="auto"/>
        <w:ind w:left="1" w:firstLine="0"/>
        <w:jc w:val="left"/>
      </w:pPr>
      <w:r>
        <w:t xml:space="preserve"> </w:t>
      </w:r>
    </w:p>
    <w:tbl>
      <w:tblPr>
        <w:tblStyle w:val="TableGrid"/>
        <w:tblpPr w:vertAnchor="text" w:tblpX="91" w:tblpY="-449"/>
        <w:tblOverlap w:val="never"/>
        <w:tblW w:w="8985" w:type="dxa"/>
        <w:tblInd w:w="0" w:type="dxa"/>
        <w:tblLayout w:type="fixed"/>
        <w:tblCellMar>
          <w:top w:w="55" w:type="dxa"/>
          <w:left w:w="30" w:type="dxa"/>
          <w:right w:w="43" w:type="dxa"/>
        </w:tblCellMar>
        <w:tblLook w:val="04A0" w:firstRow="1" w:lastRow="0" w:firstColumn="1" w:lastColumn="0" w:noHBand="0" w:noVBand="1"/>
      </w:tblPr>
      <w:tblGrid>
        <w:gridCol w:w="2160"/>
        <w:gridCol w:w="1080"/>
        <w:gridCol w:w="1992"/>
        <w:gridCol w:w="2591"/>
        <w:gridCol w:w="1162"/>
      </w:tblGrid>
      <w:tr w:rsidR="00CE3959" w14:paraId="053F9184" w14:textId="77777777" w:rsidTr="00241EDD">
        <w:trPr>
          <w:trHeight w:val="285"/>
        </w:trPr>
        <w:tc>
          <w:tcPr>
            <w:tcW w:w="2160" w:type="dxa"/>
            <w:tcBorders>
              <w:top w:val="nil"/>
              <w:left w:val="nil"/>
              <w:bottom w:val="single" w:sz="18" w:space="0" w:color="FFFFFF"/>
              <w:right w:val="single" w:sz="6" w:space="0" w:color="FFFFFF"/>
            </w:tcBorders>
            <w:shd w:val="clear" w:color="auto" w:fill="4F81BC"/>
          </w:tcPr>
          <w:p w14:paraId="7F7D8C25" w14:textId="77777777" w:rsidR="00CE3959" w:rsidRDefault="00C57C89" w:rsidP="00241EDD">
            <w:pPr>
              <w:spacing w:after="0" w:line="259" w:lineRule="auto"/>
              <w:ind w:left="0" w:firstLine="0"/>
              <w:jc w:val="left"/>
            </w:pPr>
            <w:r>
              <w:rPr>
                <w:b/>
                <w:color w:val="FFFFFF"/>
              </w:rPr>
              <w:t>Project SVP</w:t>
            </w:r>
          </w:p>
        </w:tc>
        <w:tc>
          <w:tcPr>
            <w:tcW w:w="1080" w:type="dxa"/>
            <w:tcBorders>
              <w:top w:val="nil"/>
              <w:left w:val="single" w:sz="6" w:space="0" w:color="FFFFFF"/>
              <w:bottom w:val="single" w:sz="18" w:space="0" w:color="FFFFFF"/>
              <w:right w:val="single" w:sz="7" w:space="0" w:color="FFFFFF"/>
            </w:tcBorders>
            <w:shd w:val="clear" w:color="auto" w:fill="4F81BC"/>
          </w:tcPr>
          <w:p w14:paraId="0E766E04" w14:textId="77777777" w:rsidR="00CE3959" w:rsidRDefault="00C57C89" w:rsidP="00241EDD">
            <w:pPr>
              <w:spacing w:after="0" w:line="259" w:lineRule="auto"/>
              <w:ind w:left="7" w:firstLine="0"/>
              <w:jc w:val="left"/>
            </w:pPr>
            <w:r>
              <w:rPr>
                <w:b/>
                <w:color w:val="FFFFFF"/>
              </w:rPr>
              <w:t>Issue/Date</w:t>
            </w:r>
          </w:p>
        </w:tc>
        <w:tc>
          <w:tcPr>
            <w:tcW w:w="1992" w:type="dxa"/>
            <w:tcBorders>
              <w:top w:val="nil"/>
              <w:left w:val="single" w:sz="7" w:space="0" w:color="FFFFFF"/>
              <w:bottom w:val="single" w:sz="18" w:space="0" w:color="FFFFFF"/>
              <w:right w:val="single" w:sz="7" w:space="0" w:color="FFFFFF"/>
            </w:tcBorders>
            <w:shd w:val="clear" w:color="auto" w:fill="4F81BC"/>
          </w:tcPr>
          <w:p w14:paraId="70674B9E" w14:textId="77777777" w:rsidR="00CE3959" w:rsidRDefault="00C57C89" w:rsidP="00241EDD">
            <w:pPr>
              <w:spacing w:after="0" w:line="259" w:lineRule="auto"/>
              <w:ind w:left="8" w:firstLine="0"/>
              <w:jc w:val="left"/>
            </w:pPr>
            <w:r>
              <w:rPr>
                <w:b/>
                <w:color w:val="FFFFFF"/>
              </w:rPr>
              <w:t>Corrective Action</w:t>
            </w:r>
          </w:p>
        </w:tc>
        <w:tc>
          <w:tcPr>
            <w:tcW w:w="2591" w:type="dxa"/>
            <w:tcBorders>
              <w:top w:val="nil"/>
              <w:left w:val="single" w:sz="7" w:space="0" w:color="FFFFFF"/>
              <w:bottom w:val="single" w:sz="18" w:space="0" w:color="FFFFFF"/>
              <w:right w:val="single" w:sz="7" w:space="0" w:color="FFFFFF"/>
            </w:tcBorders>
            <w:shd w:val="clear" w:color="auto" w:fill="4F81BC"/>
          </w:tcPr>
          <w:p w14:paraId="45CCE722" w14:textId="77777777" w:rsidR="00CE3959" w:rsidRDefault="00C57C89" w:rsidP="00241EDD">
            <w:pPr>
              <w:spacing w:after="0" w:line="259" w:lineRule="auto"/>
              <w:ind w:left="8" w:firstLine="0"/>
              <w:jc w:val="left"/>
            </w:pPr>
            <w:r>
              <w:rPr>
                <w:b/>
                <w:color w:val="FFFFFF"/>
              </w:rPr>
              <w:t>Resolved/Not Resolved</w:t>
            </w:r>
          </w:p>
        </w:tc>
        <w:tc>
          <w:tcPr>
            <w:tcW w:w="1162" w:type="dxa"/>
            <w:tcBorders>
              <w:top w:val="nil"/>
              <w:left w:val="single" w:sz="7" w:space="0" w:color="FFFFFF"/>
              <w:bottom w:val="single" w:sz="18" w:space="0" w:color="FFFFFF"/>
              <w:right w:val="nil"/>
            </w:tcBorders>
            <w:shd w:val="clear" w:color="auto" w:fill="4F81BC"/>
          </w:tcPr>
          <w:p w14:paraId="60CBCB35" w14:textId="77777777" w:rsidR="00CE3959" w:rsidRDefault="00C57C89" w:rsidP="00241EDD">
            <w:pPr>
              <w:spacing w:after="0" w:line="259" w:lineRule="auto"/>
              <w:ind w:left="8" w:firstLine="0"/>
              <w:jc w:val="left"/>
            </w:pPr>
            <w:r>
              <w:rPr>
                <w:b/>
                <w:color w:val="FFFFFF"/>
              </w:rPr>
              <w:t>kWh Lost</w:t>
            </w:r>
          </w:p>
        </w:tc>
      </w:tr>
      <w:tr w:rsidR="00CE3959" w14:paraId="4A2BCC2D" w14:textId="77777777" w:rsidTr="00571BC7">
        <w:trPr>
          <w:trHeight w:val="459"/>
        </w:trPr>
        <w:tc>
          <w:tcPr>
            <w:tcW w:w="2160" w:type="dxa"/>
            <w:tcBorders>
              <w:top w:val="single" w:sz="18" w:space="0" w:color="FFFFFF"/>
              <w:left w:val="nil"/>
              <w:bottom w:val="single" w:sz="18" w:space="0" w:color="FFFFFF"/>
              <w:right w:val="single" w:sz="6" w:space="0" w:color="FFFFFF"/>
            </w:tcBorders>
            <w:shd w:val="clear" w:color="auto" w:fill="B8CCE3"/>
          </w:tcPr>
          <w:p w14:paraId="72BE1F96" w14:textId="7A708154" w:rsidR="00CE3959" w:rsidRPr="00FD559A" w:rsidRDefault="00FD559A" w:rsidP="00241EDD">
            <w:pPr>
              <w:spacing w:after="0" w:line="259" w:lineRule="auto"/>
              <w:ind w:left="0" w:firstLine="0"/>
              <w:jc w:val="left"/>
              <w:rPr>
                <w:sz w:val="18"/>
                <w:szCs w:val="18"/>
              </w:rPr>
            </w:pPr>
            <w:r w:rsidRPr="00FD559A">
              <w:rPr>
                <w:sz w:val="18"/>
                <w:szCs w:val="18"/>
              </w:rPr>
              <w:t>Blue Sky Utility 2017 II, LLC</w:t>
            </w:r>
          </w:p>
        </w:tc>
        <w:tc>
          <w:tcPr>
            <w:tcW w:w="1080" w:type="dxa"/>
            <w:tcBorders>
              <w:top w:val="single" w:sz="18" w:space="0" w:color="FFFFFF"/>
              <w:left w:val="single" w:sz="6" w:space="0" w:color="FFFFFF"/>
              <w:bottom w:val="single" w:sz="18" w:space="0" w:color="FFFFFF"/>
              <w:right w:val="single" w:sz="7" w:space="0" w:color="FFFFFF"/>
            </w:tcBorders>
            <w:shd w:val="clear" w:color="auto" w:fill="B8CCE3"/>
          </w:tcPr>
          <w:p w14:paraId="02CEA4E6" w14:textId="5085AC97" w:rsidR="00CE3959" w:rsidRDefault="004E6A41" w:rsidP="00241EDD">
            <w:pPr>
              <w:spacing w:after="0" w:line="259" w:lineRule="auto"/>
              <w:ind w:left="0" w:firstLine="0"/>
              <w:jc w:val="center"/>
            </w:pPr>
            <w:r>
              <w:rPr>
                <w:sz w:val="19"/>
              </w:rPr>
              <w:t xml:space="preserve"> </w:t>
            </w:r>
            <w:r w:rsidR="00571BC7">
              <w:rPr>
                <w:sz w:val="19"/>
              </w:rPr>
              <w:t>4/30</w:t>
            </w:r>
          </w:p>
        </w:tc>
        <w:tc>
          <w:tcPr>
            <w:tcW w:w="1992" w:type="dxa"/>
            <w:tcBorders>
              <w:top w:val="single" w:sz="18" w:space="0" w:color="FFFFFF"/>
              <w:left w:val="single" w:sz="7" w:space="0" w:color="FFFFFF"/>
              <w:bottom w:val="single" w:sz="18" w:space="0" w:color="FFFFFF"/>
              <w:right w:val="single" w:sz="7" w:space="0" w:color="FFFFFF"/>
            </w:tcBorders>
            <w:shd w:val="clear" w:color="auto" w:fill="B8CCE3"/>
          </w:tcPr>
          <w:p w14:paraId="4C98B224" w14:textId="0813AAD6" w:rsidR="00CE3959" w:rsidRDefault="00571BC7" w:rsidP="00571BC7">
            <w:pPr>
              <w:spacing w:after="0" w:line="259" w:lineRule="auto"/>
              <w:ind w:left="8" w:firstLine="0"/>
              <w:jc w:val="center"/>
            </w:pPr>
            <w:r>
              <w:rPr>
                <w:sz w:val="19"/>
              </w:rPr>
              <w:t>Replace inverter fuse</w:t>
            </w:r>
          </w:p>
        </w:tc>
        <w:tc>
          <w:tcPr>
            <w:tcW w:w="2591" w:type="dxa"/>
            <w:tcBorders>
              <w:top w:val="single" w:sz="18" w:space="0" w:color="FFFFFF"/>
              <w:left w:val="single" w:sz="7" w:space="0" w:color="FFFFFF"/>
              <w:bottom w:val="single" w:sz="18" w:space="0" w:color="FFFFFF"/>
              <w:right w:val="single" w:sz="7" w:space="0" w:color="FFFFFF"/>
            </w:tcBorders>
            <w:shd w:val="clear" w:color="auto" w:fill="B8CCE3"/>
          </w:tcPr>
          <w:p w14:paraId="18F6FDD4" w14:textId="23D345BB" w:rsidR="00CE3959" w:rsidRDefault="00241EDD" w:rsidP="00241EDD">
            <w:pPr>
              <w:spacing w:after="0" w:line="259" w:lineRule="auto"/>
              <w:ind w:left="9" w:firstLine="0"/>
              <w:jc w:val="left"/>
            </w:pPr>
            <w:r>
              <w:rPr>
                <w:sz w:val="19"/>
              </w:rPr>
              <w:t xml:space="preserve">                     </w:t>
            </w:r>
            <w:r w:rsidR="00571BC7">
              <w:rPr>
                <w:sz w:val="19"/>
              </w:rPr>
              <w:t>Resolved</w:t>
            </w:r>
          </w:p>
        </w:tc>
        <w:tc>
          <w:tcPr>
            <w:tcW w:w="1162" w:type="dxa"/>
            <w:tcBorders>
              <w:top w:val="single" w:sz="18" w:space="0" w:color="FFFFFF"/>
              <w:left w:val="single" w:sz="7" w:space="0" w:color="FFFFFF"/>
              <w:bottom w:val="single" w:sz="18" w:space="0" w:color="FFFFFF"/>
              <w:right w:val="nil"/>
            </w:tcBorders>
            <w:shd w:val="clear" w:color="auto" w:fill="B8CCE3"/>
          </w:tcPr>
          <w:p w14:paraId="567463F7" w14:textId="13D12A2D" w:rsidR="00CE3959" w:rsidRDefault="00477FA4" w:rsidP="00241EDD">
            <w:pPr>
              <w:spacing w:after="0" w:line="259" w:lineRule="auto"/>
              <w:ind w:left="0" w:right="8" w:firstLine="0"/>
              <w:jc w:val="center"/>
            </w:pPr>
            <w:r>
              <w:rPr>
                <w:sz w:val="19"/>
              </w:rPr>
              <w:t>420</w:t>
            </w:r>
            <w:r w:rsidR="00A000B5">
              <w:rPr>
                <w:sz w:val="19"/>
              </w:rPr>
              <w:t>*</w:t>
            </w:r>
          </w:p>
        </w:tc>
      </w:tr>
      <w:tr w:rsidR="00571BC7" w14:paraId="5DD26319" w14:textId="77777777" w:rsidTr="00241EDD">
        <w:trPr>
          <w:trHeight w:val="459"/>
        </w:trPr>
        <w:tc>
          <w:tcPr>
            <w:tcW w:w="2160" w:type="dxa"/>
            <w:tcBorders>
              <w:top w:val="single" w:sz="18" w:space="0" w:color="FFFFFF"/>
              <w:left w:val="nil"/>
              <w:bottom w:val="single" w:sz="6" w:space="0" w:color="FFFFFF"/>
              <w:right w:val="single" w:sz="6" w:space="0" w:color="FFFFFF"/>
            </w:tcBorders>
            <w:shd w:val="clear" w:color="auto" w:fill="B8CCE3"/>
          </w:tcPr>
          <w:p w14:paraId="01F35B22" w14:textId="133B9CFC" w:rsidR="00571BC7" w:rsidRPr="00FD559A" w:rsidRDefault="00571BC7" w:rsidP="00571BC7">
            <w:pPr>
              <w:spacing w:after="0" w:line="259" w:lineRule="auto"/>
              <w:ind w:left="0" w:firstLine="0"/>
              <w:jc w:val="left"/>
              <w:rPr>
                <w:sz w:val="18"/>
                <w:szCs w:val="18"/>
              </w:rPr>
            </w:pPr>
            <w:r w:rsidRPr="00FD559A">
              <w:rPr>
                <w:sz w:val="18"/>
                <w:szCs w:val="18"/>
              </w:rPr>
              <w:t>Blue Sky Utility 2017 II, LLC</w:t>
            </w:r>
          </w:p>
        </w:tc>
        <w:tc>
          <w:tcPr>
            <w:tcW w:w="1080" w:type="dxa"/>
            <w:tcBorders>
              <w:top w:val="single" w:sz="18" w:space="0" w:color="FFFFFF"/>
              <w:left w:val="single" w:sz="6" w:space="0" w:color="FFFFFF"/>
              <w:bottom w:val="single" w:sz="6" w:space="0" w:color="FFFFFF"/>
              <w:right w:val="single" w:sz="7" w:space="0" w:color="FFFFFF"/>
            </w:tcBorders>
            <w:shd w:val="clear" w:color="auto" w:fill="B8CCE3"/>
          </w:tcPr>
          <w:p w14:paraId="6FFBE0E5" w14:textId="640D05CB" w:rsidR="00571BC7" w:rsidRDefault="00453156" w:rsidP="00571BC7">
            <w:pPr>
              <w:spacing w:after="0" w:line="259" w:lineRule="auto"/>
              <w:ind w:left="0" w:firstLine="0"/>
              <w:jc w:val="center"/>
              <w:rPr>
                <w:sz w:val="19"/>
              </w:rPr>
            </w:pPr>
            <w:r>
              <w:rPr>
                <w:sz w:val="19"/>
              </w:rPr>
              <w:t>5/19</w:t>
            </w:r>
          </w:p>
        </w:tc>
        <w:tc>
          <w:tcPr>
            <w:tcW w:w="1992" w:type="dxa"/>
            <w:tcBorders>
              <w:top w:val="single" w:sz="18" w:space="0" w:color="FFFFFF"/>
              <w:left w:val="single" w:sz="7" w:space="0" w:color="FFFFFF"/>
              <w:bottom w:val="single" w:sz="6" w:space="0" w:color="FFFFFF"/>
              <w:right w:val="single" w:sz="7" w:space="0" w:color="FFFFFF"/>
            </w:tcBorders>
            <w:shd w:val="clear" w:color="auto" w:fill="B8CCE3"/>
          </w:tcPr>
          <w:p w14:paraId="2CEF9E37" w14:textId="5BF05913" w:rsidR="00571BC7" w:rsidRDefault="00A000B5" w:rsidP="00571BC7">
            <w:pPr>
              <w:spacing w:after="0" w:line="259" w:lineRule="auto"/>
              <w:ind w:left="8" w:firstLine="0"/>
              <w:jc w:val="center"/>
              <w:rPr>
                <w:sz w:val="19"/>
              </w:rPr>
            </w:pPr>
            <w:r>
              <w:rPr>
                <w:sz w:val="19"/>
              </w:rPr>
              <w:t>Replace inverter fuse</w:t>
            </w:r>
          </w:p>
        </w:tc>
        <w:tc>
          <w:tcPr>
            <w:tcW w:w="2591" w:type="dxa"/>
            <w:tcBorders>
              <w:top w:val="single" w:sz="18" w:space="0" w:color="FFFFFF"/>
              <w:left w:val="single" w:sz="7" w:space="0" w:color="FFFFFF"/>
              <w:bottom w:val="single" w:sz="6" w:space="0" w:color="FFFFFF"/>
              <w:right w:val="single" w:sz="7" w:space="0" w:color="FFFFFF"/>
            </w:tcBorders>
            <w:shd w:val="clear" w:color="auto" w:fill="B8CCE3"/>
          </w:tcPr>
          <w:p w14:paraId="7F957978" w14:textId="30945314" w:rsidR="00571BC7" w:rsidRDefault="00453156" w:rsidP="00453156">
            <w:pPr>
              <w:spacing w:after="0" w:line="259" w:lineRule="auto"/>
              <w:ind w:left="9" w:firstLine="0"/>
              <w:jc w:val="center"/>
              <w:rPr>
                <w:sz w:val="19"/>
              </w:rPr>
            </w:pPr>
            <w:r>
              <w:rPr>
                <w:sz w:val="19"/>
              </w:rPr>
              <w:t>Resolved</w:t>
            </w:r>
          </w:p>
        </w:tc>
        <w:tc>
          <w:tcPr>
            <w:tcW w:w="1162" w:type="dxa"/>
            <w:tcBorders>
              <w:top w:val="single" w:sz="18" w:space="0" w:color="FFFFFF"/>
              <w:left w:val="single" w:sz="7" w:space="0" w:color="FFFFFF"/>
              <w:bottom w:val="single" w:sz="6" w:space="0" w:color="FFFFFF"/>
              <w:right w:val="nil"/>
            </w:tcBorders>
            <w:shd w:val="clear" w:color="auto" w:fill="B8CCE3"/>
          </w:tcPr>
          <w:p w14:paraId="2461FA77" w14:textId="57AC4DC3" w:rsidR="00571BC7" w:rsidRDefault="00477FA4" w:rsidP="00571BC7">
            <w:pPr>
              <w:spacing w:after="0" w:line="259" w:lineRule="auto"/>
              <w:ind w:left="0" w:right="8" w:firstLine="0"/>
              <w:jc w:val="center"/>
              <w:rPr>
                <w:sz w:val="19"/>
              </w:rPr>
            </w:pPr>
            <w:r>
              <w:rPr>
                <w:sz w:val="19"/>
              </w:rPr>
              <w:t>720*</w:t>
            </w:r>
          </w:p>
        </w:tc>
      </w:tr>
    </w:tbl>
    <w:p w14:paraId="0050F620" w14:textId="48059DF6" w:rsidR="00684DE8" w:rsidRDefault="00C57C89" w:rsidP="009C532C">
      <w:pPr>
        <w:spacing w:after="335" w:line="259" w:lineRule="auto"/>
        <w:ind w:left="0" w:firstLine="0"/>
        <w:jc w:val="left"/>
      </w:pPr>
      <w:r>
        <w:t xml:space="preserve"> </w:t>
      </w:r>
    </w:p>
    <w:p w14:paraId="1A89B8B7" w14:textId="0F730EB8" w:rsidR="00B0033F" w:rsidRDefault="00B0033F" w:rsidP="009C532C">
      <w:pPr>
        <w:spacing w:after="335" w:line="259" w:lineRule="auto"/>
        <w:ind w:left="0" w:firstLine="0"/>
        <w:jc w:val="left"/>
      </w:pPr>
    </w:p>
    <w:p w14:paraId="4C086C6E" w14:textId="0DF3CAC1" w:rsidR="00A000B5" w:rsidRDefault="00A000B5" w:rsidP="009C532C">
      <w:pPr>
        <w:spacing w:after="335" w:line="259" w:lineRule="auto"/>
        <w:ind w:left="0" w:firstLine="0"/>
        <w:jc w:val="left"/>
      </w:pPr>
      <w:r>
        <w:t>*</w:t>
      </w:r>
      <w:r w:rsidR="004462A0">
        <w:t>A</w:t>
      </w:r>
      <w:r>
        <w:t>pproximation</w:t>
      </w:r>
      <w:r w:rsidR="00AA4A83">
        <w:t xml:space="preserve"> (inverter </w:t>
      </w:r>
      <w:r w:rsidR="005A2495">
        <w:t xml:space="preserve">kW </w:t>
      </w:r>
      <w:r w:rsidR="00AA4A83">
        <w:t>size * number of days not producing)</w:t>
      </w:r>
    </w:p>
    <w:p w14:paraId="4DB30C01" w14:textId="77777777" w:rsidR="00584905" w:rsidRDefault="00584905"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38666D45" w14:textId="2D18EE31" w:rsidR="00574716" w:rsidRDefault="00C57C89" w:rsidP="00E801AE">
      <w:pPr>
        <w:ind w:left="-4"/>
      </w:pPr>
      <w:r>
        <w:t xml:space="preserve">The overall availability for this quarter was </w:t>
      </w:r>
      <w:r w:rsidR="00477FA4">
        <w:rPr>
          <w:b/>
        </w:rPr>
        <w:t>99</w:t>
      </w:r>
      <w:r w:rsidR="003C738E">
        <w:rPr>
          <w:b/>
        </w:rPr>
        <w:t>.</w:t>
      </w:r>
      <w:r w:rsidR="00477FA4">
        <w:rPr>
          <w:b/>
        </w:rPr>
        <w:t>18</w:t>
      </w:r>
      <w:r>
        <w:rPr>
          <w:b/>
        </w:rPr>
        <w:t>%</w:t>
      </w:r>
      <w:r w:rsidR="003C738E">
        <w:t xml:space="preserve"> and there were </w:t>
      </w:r>
      <w:r w:rsidR="00477FA4">
        <w:t xml:space="preserve">2 </w:t>
      </w:r>
      <w:r w:rsidR="00692FBE">
        <w:t xml:space="preserve">inverter </w:t>
      </w:r>
      <w:r w:rsidR="003C738E">
        <w:t>outages</w:t>
      </w:r>
      <w:r w:rsidR="00477FA4">
        <w:t xml:space="preserve"> that were promptly address</w:t>
      </w:r>
      <w:r w:rsidR="00E801AE">
        <w:t>ed.</w:t>
      </w:r>
    </w:p>
    <w:p w14:paraId="3076A6D1" w14:textId="77777777" w:rsidR="00E801AE" w:rsidRDefault="00E801AE" w:rsidP="00E801AE">
      <w:pPr>
        <w:ind w:left="-4"/>
      </w:pPr>
    </w:p>
    <w:p w14:paraId="2AB56CFF" w14:textId="4FC45409" w:rsidR="0092159E" w:rsidRPr="00910E5F" w:rsidRDefault="00195B24" w:rsidP="00910E5F">
      <w:pPr>
        <w:pStyle w:val="Heading1"/>
        <w:ind w:left="219" w:hanging="233"/>
      </w:pPr>
      <w:r>
        <w:t>|</w:t>
      </w:r>
      <w:r w:rsidR="0092159E">
        <w:t xml:space="preserve">Billings &amp; </w:t>
      </w:r>
      <w:r>
        <w:t>Collections</w:t>
      </w:r>
    </w:p>
    <w:tbl>
      <w:tblPr>
        <w:tblStyle w:val="TableGrid"/>
        <w:tblW w:w="0" w:type="auto"/>
        <w:tblInd w:w="-108" w:type="dxa"/>
        <w:tblLook w:val="04A0" w:firstRow="1" w:lastRow="0" w:firstColumn="1" w:lastColumn="0" w:noHBand="0" w:noVBand="1"/>
      </w:tblPr>
      <w:tblGrid>
        <w:gridCol w:w="1597"/>
        <w:gridCol w:w="2067"/>
        <w:gridCol w:w="2067"/>
      </w:tblGrid>
      <w:tr w:rsidR="006065DA" w:rsidRPr="00ED2597" w14:paraId="733915A5" w14:textId="55341F58" w:rsidTr="006065DA">
        <w:tc>
          <w:tcPr>
            <w:tcW w:w="5731" w:type="dxa"/>
            <w:gridSpan w:val="3"/>
            <w:tcBorders>
              <w:bottom w:val="single" w:sz="4" w:space="0" w:color="FFFFFF" w:themeColor="background1"/>
            </w:tcBorders>
            <w:shd w:val="clear" w:color="auto" w:fill="1F4E79" w:themeFill="accent5" w:themeFillShade="80"/>
            <w:vAlign w:val="center"/>
          </w:tcPr>
          <w:p w14:paraId="33843D86" w14:textId="36E0CAEE" w:rsidR="006065DA" w:rsidRPr="00ED2597" w:rsidRDefault="006065DA" w:rsidP="00ED2597">
            <w:pPr>
              <w:ind w:left="0" w:firstLine="0"/>
              <w:jc w:val="center"/>
              <w:rPr>
                <w:b/>
                <w:color w:val="FFFFFF" w:themeColor="background1"/>
              </w:rPr>
            </w:pPr>
            <w:r>
              <w:rPr>
                <w:b/>
                <w:color w:val="FFFFFF" w:themeColor="background1"/>
              </w:rPr>
              <w:t>Blue Sky Utility 2017 II, LLC</w:t>
            </w:r>
          </w:p>
        </w:tc>
      </w:tr>
      <w:tr w:rsidR="006065DA" w:rsidRPr="00ED2597" w14:paraId="7CD8A412" w14:textId="7E87A44E" w:rsidTr="006065DA">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372C9248" w14:textId="0168C243" w:rsidR="006065DA" w:rsidRPr="00ED2597" w:rsidRDefault="006065DA" w:rsidP="00ED2597">
            <w:pPr>
              <w:ind w:left="0" w:firstLine="0"/>
              <w:jc w:val="center"/>
              <w:rPr>
                <w:b/>
                <w:color w:val="FFFFFF" w:themeColor="background1"/>
              </w:rPr>
            </w:pPr>
            <w:r w:rsidRPr="00ED2597">
              <w:rPr>
                <w:b/>
                <w:color w:val="FFFFFF" w:themeColor="background1"/>
              </w:rPr>
              <w:t>MONTH</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43F4A933" w14:textId="5C70C6F8" w:rsidR="006065DA" w:rsidRPr="00ED2597" w:rsidRDefault="006065DA" w:rsidP="00ED2597">
            <w:pPr>
              <w:ind w:left="0" w:firstLine="0"/>
              <w:jc w:val="center"/>
              <w:rPr>
                <w:b/>
                <w:color w:val="FFFFFF" w:themeColor="background1"/>
              </w:rPr>
            </w:pPr>
            <w:r w:rsidRPr="00ED2597">
              <w:rPr>
                <w:b/>
                <w:color w:val="FFFFFF" w:themeColor="background1"/>
              </w:rPr>
              <w:t>INVOICE AMOUNTS ($)</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70003E38" w14:textId="6D8E051D" w:rsidR="006065DA" w:rsidRPr="00ED2597" w:rsidRDefault="006065DA" w:rsidP="00ED2597">
            <w:pPr>
              <w:ind w:left="0" w:firstLine="0"/>
              <w:jc w:val="center"/>
              <w:rPr>
                <w:b/>
                <w:color w:val="FFFFFF" w:themeColor="background1"/>
              </w:rPr>
            </w:pPr>
            <w:r w:rsidRPr="00ED2597">
              <w:rPr>
                <w:b/>
                <w:color w:val="FFFFFF" w:themeColor="background1"/>
              </w:rPr>
              <w:t>COLLECTIONS</w:t>
            </w:r>
            <w:r>
              <w:rPr>
                <w:b/>
                <w:color w:val="FFFFFF" w:themeColor="background1"/>
              </w:rPr>
              <w:t xml:space="preserve"> ($)</w:t>
            </w:r>
          </w:p>
        </w:tc>
      </w:tr>
      <w:tr w:rsidR="006065DA" w:rsidRPr="00ED2597" w14:paraId="0881C7F3" w14:textId="4E81E2F9" w:rsidTr="006065DA">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100CF417" w14:textId="7F04E41C" w:rsidR="006065DA" w:rsidRPr="00ED2597" w:rsidRDefault="006065DA" w:rsidP="00761023">
            <w:pPr>
              <w:ind w:left="0" w:firstLine="0"/>
              <w:jc w:val="center"/>
              <w:rPr>
                <w:color w:val="FFFFFF" w:themeColor="background1"/>
              </w:rPr>
            </w:pPr>
            <w:r>
              <w:rPr>
                <w:b/>
                <w:color w:val="FFFFFF"/>
              </w:rPr>
              <w:t>18-</w:t>
            </w:r>
            <w:r w:rsidR="00B46B52">
              <w:rPr>
                <w:b/>
                <w:color w:val="FFFFFF"/>
              </w:rPr>
              <w:t>Apr</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5BFCCC9A" w14:textId="5AAC3B32" w:rsidR="006065DA" w:rsidRPr="00ED2597" w:rsidRDefault="006065DA" w:rsidP="00F934E6">
            <w:pPr>
              <w:ind w:left="0" w:firstLine="720"/>
              <w:jc w:val="left"/>
              <w:rPr>
                <w:color w:val="FFFFFF" w:themeColor="background1"/>
              </w:rPr>
            </w:pPr>
            <w:r w:rsidRPr="00F934E6">
              <w:rPr>
                <w:color w:val="FFFFFF" w:themeColor="background1"/>
              </w:rPr>
              <w:t>$</w:t>
            </w:r>
            <w:r w:rsidR="00690460">
              <w:rPr>
                <w:color w:val="FFFFFF" w:themeColor="background1"/>
              </w:rPr>
              <w:t>40,407.37</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1E1B46D2" w14:textId="39B2CA0D" w:rsidR="006065DA" w:rsidRPr="00ED2597" w:rsidRDefault="006065DA" w:rsidP="00F934E6">
            <w:pPr>
              <w:ind w:left="0" w:firstLine="720"/>
              <w:jc w:val="left"/>
              <w:rPr>
                <w:color w:val="FFFFFF" w:themeColor="background1"/>
              </w:rPr>
            </w:pPr>
            <w:r>
              <w:rPr>
                <w:color w:val="FFFFFF" w:themeColor="background1"/>
              </w:rPr>
              <w:t xml:space="preserve"> $</w:t>
            </w:r>
            <w:r w:rsidR="00322690">
              <w:rPr>
                <w:color w:val="FFFFFF" w:themeColor="background1"/>
              </w:rPr>
              <w:t>9,770.38</w:t>
            </w:r>
            <w:r>
              <w:rPr>
                <w:color w:val="FFFFFF" w:themeColor="background1"/>
              </w:rPr>
              <w:t xml:space="preserve">       </w:t>
            </w:r>
          </w:p>
        </w:tc>
      </w:tr>
      <w:tr w:rsidR="006065DA" w:rsidRPr="00ED2597" w14:paraId="601A3DCF" w14:textId="55445582" w:rsidTr="006065DA">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5F699411" w14:textId="583AE769" w:rsidR="006065DA" w:rsidRPr="00ED2597" w:rsidRDefault="006065DA" w:rsidP="00F934E6">
            <w:pPr>
              <w:ind w:left="0" w:firstLine="0"/>
              <w:jc w:val="center"/>
              <w:rPr>
                <w:color w:val="FFFFFF" w:themeColor="background1"/>
              </w:rPr>
            </w:pPr>
            <w:r>
              <w:rPr>
                <w:b/>
                <w:color w:val="FFFFFF"/>
              </w:rPr>
              <w:t>18-</w:t>
            </w:r>
            <w:r w:rsidR="00B46B52">
              <w:rPr>
                <w:b/>
                <w:color w:val="FFFFFF"/>
              </w:rPr>
              <w:t>May</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70622C43" w14:textId="5D079015" w:rsidR="006065DA" w:rsidRPr="00ED2597" w:rsidRDefault="006065DA" w:rsidP="00F934E6">
            <w:pPr>
              <w:ind w:left="0" w:firstLine="720"/>
              <w:jc w:val="left"/>
              <w:rPr>
                <w:color w:val="FFFFFF" w:themeColor="background1"/>
              </w:rPr>
            </w:pPr>
            <w:r w:rsidRPr="00F934E6">
              <w:rPr>
                <w:color w:val="FFFFFF" w:themeColor="background1"/>
              </w:rPr>
              <w:t>$</w:t>
            </w:r>
            <w:r w:rsidR="00814700">
              <w:rPr>
                <w:color w:val="FFFFFF" w:themeColor="background1"/>
              </w:rPr>
              <w:t>39.176.15</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75E05D83" w14:textId="546C43CA" w:rsidR="006065DA" w:rsidRPr="00ED2597" w:rsidRDefault="006065DA" w:rsidP="00F934E6">
            <w:pPr>
              <w:ind w:left="0" w:firstLine="720"/>
              <w:jc w:val="left"/>
              <w:rPr>
                <w:color w:val="FFFFFF" w:themeColor="background1"/>
              </w:rPr>
            </w:pPr>
            <w:r w:rsidRPr="00F934E6">
              <w:rPr>
                <w:color w:val="FFFFFF" w:themeColor="background1"/>
              </w:rPr>
              <w:t>$</w:t>
            </w:r>
            <w:r w:rsidR="00477FA4">
              <w:rPr>
                <w:color w:val="FFFFFF" w:themeColor="background1"/>
              </w:rPr>
              <w:t>40,407.37</w:t>
            </w:r>
          </w:p>
        </w:tc>
      </w:tr>
      <w:tr w:rsidR="006065DA" w:rsidRPr="00ED2597" w14:paraId="2D86FA07" w14:textId="0A265E1A" w:rsidTr="006065DA">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20A82F5E" w14:textId="7484C1D4" w:rsidR="006065DA" w:rsidRPr="00ED2597" w:rsidRDefault="006065DA" w:rsidP="00F934E6">
            <w:pPr>
              <w:ind w:left="0" w:firstLine="0"/>
              <w:jc w:val="center"/>
              <w:rPr>
                <w:color w:val="FFFFFF" w:themeColor="background1"/>
              </w:rPr>
            </w:pPr>
            <w:r>
              <w:rPr>
                <w:b/>
                <w:color w:val="FFFFFF"/>
              </w:rPr>
              <w:t>18-</w:t>
            </w:r>
            <w:r w:rsidR="00B46B52">
              <w:rPr>
                <w:b/>
                <w:color w:val="FFFFFF"/>
              </w:rPr>
              <w:t>Jun</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6F2DE83C" w14:textId="4B882B7A" w:rsidR="006065DA" w:rsidRPr="00ED2597" w:rsidRDefault="006065DA" w:rsidP="00F934E6">
            <w:pPr>
              <w:ind w:left="0" w:firstLine="720"/>
              <w:jc w:val="left"/>
              <w:rPr>
                <w:color w:val="FFFFFF" w:themeColor="background1"/>
              </w:rPr>
            </w:pPr>
            <w:r w:rsidRPr="00F934E6">
              <w:rPr>
                <w:color w:val="FFFFFF" w:themeColor="background1"/>
              </w:rPr>
              <w:t>$</w:t>
            </w:r>
            <w:r w:rsidR="00814700">
              <w:rPr>
                <w:color w:val="FFFFFF" w:themeColor="background1"/>
              </w:rPr>
              <w:t>49.931.75</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tcPr>
          <w:p w14:paraId="4F3343C0" w14:textId="18877A20" w:rsidR="006065DA" w:rsidRPr="00ED2597" w:rsidRDefault="006065DA" w:rsidP="00F934E6">
            <w:pPr>
              <w:ind w:left="0" w:firstLine="720"/>
              <w:jc w:val="left"/>
              <w:rPr>
                <w:color w:val="FFFFFF" w:themeColor="background1"/>
              </w:rPr>
            </w:pPr>
            <w:r w:rsidRPr="00F934E6">
              <w:rPr>
                <w:color w:val="FFFFFF" w:themeColor="background1"/>
              </w:rPr>
              <w:t>$</w:t>
            </w:r>
            <w:r w:rsidR="00814700">
              <w:rPr>
                <w:color w:val="FFFFFF" w:themeColor="background1"/>
              </w:rPr>
              <w:t>39.176.15</w:t>
            </w:r>
          </w:p>
        </w:tc>
      </w:tr>
    </w:tbl>
    <w:p w14:paraId="4F7DE4CB" w14:textId="474CB484" w:rsidR="0092159E" w:rsidRPr="00910E5F" w:rsidRDefault="00910E5F" w:rsidP="0092159E">
      <w:pPr>
        <w:rPr>
          <w:color w:val="auto"/>
        </w:rPr>
      </w:pPr>
      <w:r>
        <w:rPr>
          <w:color w:val="auto"/>
        </w:rPr>
        <w:t>*Credits not yet recouped due to SCE NEM billing backlog</w:t>
      </w:r>
    </w:p>
    <w:p w14:paraId="6BE1217D" w14:textId="77777777" w:rsidR="003174AD" w:rsidRDefault="003174AD" w:rsidP="003174AD">
      <w:pPr>
        <w:pStyle w:val="Heading1"/>
        <w:ind w:left="219" w:hanging="233"/>
      </w:pPr>
      <w:r>
        <w:lastRenderedPageBreak/>
        <w:t>|Financials</w:t>
      </w:r>
    </w:p>
    <w:p w14:paraId="36CEB05F" w14:textId="6FA01889" w:rsidR="003174AD" w:rsidRPr="00B011DA" w:rsidRDefault="003174AD" w:rsidP="003174AD">
      <w:r>
        <w:t>Financials are attached below or sent in separate document</w:t>
      </w:r>
      <w:r w:rsidR="00F934E6">
        <w:t>.</w:t>
      </w:r>
    </w:p>
    <w:p w14:paraId="3250FF02" w14:textId="77777777" w:rsidR="003174AD" w:rsidRDefault="003174AD" w:rsidP="003174AD">
      <w:pPr>
        <w:spacing w:after="160" w:line="259" w:lineRule="auto"/>
        <w:ind w:left="0" w:firstLine="0"/>
        <w:jc w:val="left"/>
        <w:rPr>
          <w:rFonts w:asciiTheme="minorHAnsi" w:eastAsiaTheme="minorEastAsia" w:hAnsiTheme="minorHAnsi" w:cstheme="minorBidi"/>
          <w:color w:val="auto"/>
        </w:rPr>
      </w:pPr>
    </w:p>
    <w:p w14:paraId="13296DBD" w14:textId="5514298C" w:rsidR="00B011DA" w:rsidRDefault="00B011DA" w:rsidP="00B011DA">
      <w:pPr>
        <w:pStyle w:val="Heading1"/>
        <w:numPr>
          <w:ilvl w:val="0"/>
          <w:numId w:val="0"/>
        </w:numPr>
        <w:ind w:left="11"/>
      </w:pP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2259D" w14:textId="77777777" w:rsidR="005832B5" w:rsidRDefault="005832B5">
      <w:pPr>
        <w:spacing w:after="0" w:line="240" w:lineRule="auto"/>
      </w:pPr>
      <w:r>
        <w:separator/>
      </w:r>
    </w:p>
  </w:endnote>
  <w:endnote w:type="continuationSeparator" w:id="0">
    <w:p w14:paraId="28B86A15" w14:textId="77777777" w:rsidR="005832B5" w:rsidRDefault="0058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3E0E9" w14:textId="77777777" w:rsidR="005832B5" w:rsidRDefault="005832B5">
      <w:pPr>
        <w:spacing w:after="0" w:line="240" w:lineRule="auto"/>
      </w:pPr>
      <w:r>
        <w:separator/>
      </w:r>
    </w:p>
  </w:footnote>
  <w:footnote w:type="continuationSeparator" w:id="0">
    <w:p w14:paraId="583606C9" w14:textId="77777777" w:rsidR="005832B5" w:rsidRDefault="0058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52DAA91E" w:rsidR="00696B0E" w:rsidRDefault="00C91FCB" w:rsidP="00696B0E">
    <w:pPr>
      <w:pStyle w:val="Header"/>
      <w:jc w:val="right"/>
    </w:pPr>
    <w:r>
      <w:t xml:space="preserve">Blue Sky Utility </w:t>
    </w:r>
    <w:r w:rsidR="002E7B0C">
      <w:t>2017 II, LLC</w:t>
    </w:r>
  </w:p>
  <w:p w14:paraId="35270B82" w14:textId="687219A6" w:rsidR="00696B0E" w:rsidRDefault="00696B0E" w:rsidP="00696B0E">
    <w:pPr>
      <w:pStyle w:val="Header"/>
      <w:jc w:val="right"/>
    </w:pPr>
    <w:r>
      <w:t>Quarterly Performance Summary – Q</w:t>
    </w:r>
    <w:r w:rsidR="00F0260D">
      <w:t>2</w:t>
    </w:r>
    <w:r>
      <w:t xml:space="preserve"> 201</w:t>
    </w:r>
    <w:r w:rsidR="00197B4C">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24F90D95"/>
    <w:multiLevelType w:val="hybridMultilevel"/>
    <w:tmpl w:val="855ED79C"/>
    <w:lvl w:ilvl="0" w:tplc="00EA609A">
      <w:start w:val="8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1A0A"/>
    <w:rsid w:val="0000561E"/>
    <w:rsid w:val="0001659C"/>
    <w:rsid w:val="00021E28"/>
    <w:rsid w:val="000251F4"/>
    <w:rsid w:val="00050799"/>
    <w:rsid w:val="000650C8"/>
    <w:rsid w:val="000700C9"/>
    <w:rsid w:val="00070E22"/>
    <w:rsid w:val="0007153B"/>
    <w:rsid w:val="00090107"/>
    <w:rsid w:val="00090B99"/>
    <w:rsid w:val="000A1FF9"/>
    <w:rsid w:val="000B3A95"/>
    <w:rsid w:val="000B577F"/>
    <w:rsid w:val="000B7E0E"/>
    <w:rsid w:val="000C3F4F"/>
    <w:rsid w:val="000E0516"/>
    <w:rsid w:val="000E3612"/>
    <w:rsid w:val="000E5101"/>
    <w:rsid w:val="000F1BB6"/>
    <w:rsid w:val="000F46B6"/>
    <w:rsid w:val="00101B4A"/>
    <w:rsid w:val="0010303B"/>
    <w:rsid w:val="0011375C"/>
    <w:rsid w:val="00113952"/>
    <w:rsid w:val="00120BEE"/>
    <w:rsid w:val="00127192"/>
    <w:rsid w:val="00135618"/>
    <w:rsid w:val="00146D20"/>
    <w:rsid w:val="00152C75"/>
    <w:rsid w:val="00154224"/>
    <w:rsid w:val="0016620D"/>
    <w:rsid w:val="00177E29"/>
    <w:rsid w:val="001829D4"/>
    <w:rsid w:val="00187E2E"/>
    <w:rsid w:val="0019576D"/>
    <w:rsid w:val="00195B24"/>
    <w:rsid w:val="00197B4C"/>
    <w:rsid w:val="001A0AE3"/>
    <w:rsid w:val="001A7372"/>
    <w:rsid w:val="001B0B93"/>
    <w:rsid w:val="001B2821"/>
    <w:rsid w:val="001B63B3"/>
    <w:rsid w:val="001B695B"/>
    <w:rsid w:val="001C3931"/>
    <w:rsid w:val="001C5708"/>
    <w:rsid w:val="001E761A"/>
    <w:rsid w:val="001F066C"/>
    <w:rsid w:val="001F348B"/>
    <w:rsid w:val="00200434"/>
    <w:rsid w:val="00202DDA"/>
    <w:rsid w:val="00203060"/>
    <w:rsid w:val="002124CF"/>
    <w:rsid w:val="00212889"/>
    <w:rsid w:val="00213698"/>
    <w:rsid w:val="0021428F"/>
    <w:rsid w:val="00222A8A"/>
    <w:rsid w:val="00230E0D"/>
    <w:rsid w:val="00235240"/>
    <w:rsid w:val="002419C8"/>
    <w:rsid w:val="00241EDD"/>
    <w:rsid w:val="00241FAA"/>
    <w:rsid w:val="002425DE"/>
    <w:rsid w:val="00253AEB"/>
    <w:rsid w:val="00257F3F"/>
    <w:rsid w:val="002654F9"/>
    <w:rsid w:val="00265A37"/>
    <w:rsid w:val="002676EE"/>
    <w:rsid w:val="00282F1C"/>
    <w:rsid w:val="00290925"/>
    <w:rsid w:val="002C40DF"/>
    <w:rsid w:val="002C54AB"/>
    <w:rsid w:val="002D17C2"/>
    <w:rsid w:val="002E0D1D"/>
    <w:rsid w:val="002E7B0C"/>
    <w:rsid w:val="002F46A1"/>
    <w:rsid w:val="00304948"/>
    <w:rsid w:val="00316D40"/>
    <w:rsid w:val="003174AD"/>
    <w:rsid w:val="00322690"/>
    <w:rsid w:val="003279EF"/>
    <w:rsid w:val="00330542"/>
    <w:rsid w:val="003440FD"/>
    <w:rsid w:val="003540D8"/>
    <w:rsid w:val="00386E98"/>
    <w:rsid w:val="003948E5"/>
    <w:rsid w:val="003969BB"/>
    <w:rsid w:val="003A0C70"/>
    <w:rsid w:val="003A6AFF"/>
    <w:rsid w:val="003B34A7"/>
    <w:rsid w:val="003B6088"/>
    <w:rsid w:val="003C229D"/>
    <w:rsid w:val="003C738E"/>
    <w:rsid w:val="003D0948"/>
    <w:rsid w:val="003D60FA"/>
    <w:rsid w:val="003E32CD"/>
    <w:rsid w:val="003F4E77"/>
    <w:rsid w:val="003F58E6"/>
    <w:rsid w:val="00406457"/>
    <w:rsid w:val="00411520"/>
    <w:rsid w:val="004115E4"/>
    <w:rsid w:val="00412F47"/>
    <w:rsid w:val="004378EF"/>
    <w:rsid w:val="004462A0"/>
    <w:rsid w:val="00451D3A"/>
    <w:rsid w:val="00453156"/>
    <w:rsid w:val="00454851"/>
    <w:rsid w:val="0045486F"/>
    <w:rsid w:val="00457C90"/>
    <w:rsid w:val="00477FA4"/>
    <w:rsid w:val="00481845"/>
    <w:rsid w:val="004A3057"/>
    <w:rsid w:val="004C76CA"/>
    <w:rsid w:val="004D194C"/>
    <w:rsid w:val="004E3BEC"/>
    <w:rsid w:val="004E488A"/>
    <w:rsid w:val="004E65F5"/>
    <w:rsid w:val="004E6A41"/>
    <w:rsid w:val="004E767C"/>
    <w:rsid w:val="004F22A8"/>
    <w:rsid w:val="004F5F4C"/>
    <w:rsid w:val="004F7320"/>
    <w:rsid w:val="00511FB8"/>
    <w:rsid w:val="00524376"/>
    <w:rsid w:val="005467DA"/>
    <w:rsid w:val="0055008D"/>
    <w:rsid w:val="005564BB"/>
    <w:rsid w:val="00571BC7"/>
    <w:rsid w:val="00574716"/>
    <w:rsid w:val="0058236B"/>
    <w:rsid w:val="005832B5"/>
    <w:rsid w:val="00584778"/>
    <w:rsid w:val="00584905"/>
    <w:rsid w:val="00595700"/>
    <w:rsid w:val="0059799B"/>
    <w:rsid w:val="005A2495"/>
    <w:rsid w:val="005B0232"/>
    <w:rsid w:val="005C0697"/>
    <w:rsid w:val="005D65AE"/>
    <w:rsid w:val="006065DA"/>
    <w:rsid w:val="006114BA"/>
    <w:rsid w:val="006133AC"/>
    <w:rsid w:val="006159DD"/>
    <w:rsid w:val="00616A02"/>
    <w:rsid w:val="00650C2E"/>
    <w:rsid w:val="00653FDF"/>
    <w:rsid w:val="006619AF"/>
    <w:rsid w:val="00662059"/>
    <w:rsid w:val="00684DE8"/>
    <w:rsid w:val="00690460"/>
    <w:rsid w:val="006914E5"/>
    <w:rsid w:val="00692FBE"/>
    <w:rsid w:val="006958F8"/>
    <w:rsid w:val="00696B0E"/>
    <w:rsid w:val="006A6240"/>
    <w:rsid w:val="006D1B33"/>
    <w:rsid w:val="006D375C"/>
    <w:rsid w:val="006D4811"/>
    <w:rsid w:val="006D7E6D"/>
    <w:rsid w:val="006F0D74"/>
    <w:rsid w:val="0072672E"/>
    <w:rsid w:val="0073138C"/>
    <w:rsid w:val="007439F4"/>
    <w:rsid w:val="00752B7C"/>
    <w:rsid w:val="00755BAE"/>
    <w:rsid w:val="00761023"/>
    <w:rsid w:val="007A1F92"/>
    <w:rsid w:val="007A2790"/>
    <w:rsid w:val="007E55C8"/>
    <w:rsid w:val="007E663C"/>
    <w:rsid w:val="007F60EB"/>
    <w:rsid w:val="00801BB0"/>
    <w:rsid w:val="00801E78"/>
    <w:rsid w:val="008022D1"/>
    <w:rsid w:val="0081220C"/>
    <w:rsid w:val="00814700"/>
    <w:rsid w:val="00817BF1"/>
    <w:rsid w:val="00842E37"/>
    <w:rsid w:val="008519B6"/>
    <w:rsid w:val="008742BD"/>
    <w:rsid w:val="00887FB3"/>
    <w:rsid w:val="008930D0"/>
    <w:rsid w:val="008B4209"/>
    <w:rsid w:val="008C0A6B"/>
    <w:rsid w:val="008C439D"/>
    <w:rsid w:val="008D6566"/>
    <w:rsid w:val="008F221C"/>
    <w:rsid w:val="008F2DA1"/>
    <w:rsid w:val="008F484A"/>
    <w:rsid w:val="009042C1"/>
    <w:rsid w:val="00910E5F"/>
    <w:rsid w:val="0092159E"/>
    <w:rsid w:val="00922FA8"/>
    <w:rsid w:val="00926A2D"/>
    <w:rsid w:val="00934D57"/>
    <w:rsid w:val="00941CA2"/>
    <w:rsid w:val="00943841"/>
    <w:rsid w:val="00944088"/>
    <w:rsid w:val="0096283A"/>
    <w:rsid w:val="009634C1"/>
    <w:rsid w:val="00971BD4"/>
    <w:rsid w:val="00975785"/>
    <w:rsid w:val="009A03FF"/>
    <w:rsid w:val="009B0772"/>
    <w:rsid w:val="009B4669"/>
    <w:rsid w:val="009B6929"/>
    <w:rsid w:val="009C532C"/>
    <w:rsid w:val="009C53E3"/>
    <w:rsid w:val="009E50E1"/>
    <w:rsid w:val="009E7760"/>
    <w:rsid w:val="00A000B5"/>
    <w:rsid w:val="00A34D67"/>
    <w:rsid w:val="00A37D62"/>
    <w:rsid w:val="00A547EF"/>
    <w:rsid w:val="00A61827"/>
    <w:rsid w:val="00A676D8"/>
    <w:rsid w:val="00A70D1F"/>
    <w:rsid w:val="00A73670"/>
    <w:rsid w:val="00A7618E"/>
    <w:rsid w:val="00AA142E"/>
    <w:rsid w:val="00AA4A83"/>
    <w:rsid w:val="00AB6054"/>
    <w:rsid w:val="00AB6156"/>
    <w:rsid w:val="00AC274B"/>
    <w:rsid w:val="00AC6597"/>
    <w:rsid w:val="00AD0876"/>
    <w:rsid w:val="00AD0C83"/>
    <w:rsid w:val="00AE1ACC"/>
    <w:rsid w:val="00B0005D"/>
    <w:rsid w:val="00B0033F"/>
    <w:rsid w:val="00B011DA"/>
    <w:rsid w:val="00B04BB5"/>
    <w:rsid w:val="00B14A79"/>
    <w:rsid w:val="00B20697"/>
    <w:rsid w:val="00B252D4"/>
    <w:rsid w:val="00B27752"/>
    <w:rsid w:val="00B46B52"/>
    <w:rsid w:val="00B71EB6"/>
    <w:rsid w:val="00B727FA"/>
    <w:rsid w:val="00B7751E"/>
    <w:rsid w:val="00B81337"/>
    <w:rsid w:val="00B845D9"/>
    <w:rsid w:val="00B858AB"/>
    <w:rsid w:val="00B86A52"/>
    <w:rsid w:val="00B878A9"/>
    <w:rsid w:val="00B95C1C"/>
    <w:rsid w:val="00B95FCF"/>
    <w:rsid w:val="00BA66DF"/>
    <w:rsid w:val="00BC112A"/>
    <w:rsid w:val="00BD539C"/>
    <w:rsid w:val="00BE7174"/>
    <w:rsid w:val="00BE71E4"/>
    <w:rsid w:val="00BF1CD4"/>
    <w:rsid w:val="00C01513"/>
    <w:rsid w:val="00C11430"/>
    <w:rsid w:val="00C1232B"/>
    <w:rsid w:val="00C23B9A"/>
    <w:rsid w:val="00C50D99"/>
    <w:rsid w:val="00C53502"/>
    <w:rsid w:val="00C57674"/>
    <w:rsid w:val="00C57C89"/>
    <w:rsid w:val="00C72075"/>
    <w:rsid w:val="00C759E1"/>
    <w:rsid w:val="00C91FCB"/>
    <w:rsid w:val="00CA3925"/>
    <w:rsid w:val="00CA3BF3"/>
    <w:rsid w:val="00CA7CF4"/>
    <w:rsid w:val="00CB024F"/>
    <w:rsid w:val="00CB3FD9"/>
    <w:rsid w:val="00CC34C2"/>
    <w:rsid w:val="00CD5634"/>
    <w:rsid w:val="00CE0DC4"/>
    <w:rsid w:val="00CE3959"/>
    <w:rsid w:val="00CE49F0"/>
    <w:rsid w:val="00CF0699"/>
    <w:rsid w:val="00CF0DEB"/>
    <w:rsid w:val="00D04063"/>
    <w:rsid w:val="00D13B0D"/>
    <w:rsid w:val="00D16821"/>
    <w:rsid w:val="00D170C2"/>
    <w:rsid w:val="00D25070"/>
    <w:rsid w:val="00D366C9"/>
    <w:rsid w:val="00D41A52"/>
    <w:rsid w:val="00D4600B"/>
    <w:rsid w:val="00D535AA"/>
    <w:rsid w:val="00D55457"/>
    <w:rsid w:val="00D71638"/>
    <w:rsid w:val="00D75804"/>
    <w:rsid w:val="00D77C5D"/>
    <w:rsid w:val="00D912F7"/>
    <w:rsid w:val="00D918EC"/>
    <w:rsid w:val="00DA7EC2"/>
    <w:rsid w:val="00DC757C"/>
    <w:rsid w:val="00DD6A48"/>
    <w:rsid w:val="00DE6F0F"/>
    <w:rsid w:val="00E20083"/>
    <w:rsid w:val="00E23F12"/>
    <w:rsid w:val="00E45979"/>
    <w:rsid w:val="00E4761D"/>
    <w:rsid w:val="00E47CA0"/>
    <w:rsid w:val="00E50DED"/>
    <w:rsid w:val="00E61F4B"/>
    <w:rsid w:val="00E737FE"/>
    <w:rsid w:val="00E75834"/>
    <w:rsid w:val="00E801AE"/>
    <w:rsid w:val="00E86E46"/>
    <w:rsid w:val="00E91124"/>
    <w:rsid w:val="00E9254C"/>
    <w:rsid w:val="00E942C7"/>
    <w:rsid w:val="00EB08BB"/>
    <w:rsid w:val="00EC0E62"/>
    <w:rsid w:val="00EC7F8C"/>
    <w:rsid w:val="00ED2597"/>
    <w:rsid w:val="00F0023B"/>
    <w:rsid w:val="00F0260D"/>
    <w:rsid w:val="00F038FA"/>
    <w:rsid w:val="00F1152C"/>
    <w:rsid w:val="00F20020"/>
    <w:rsid w:val="00F21CBA"/>
    <w:rsid w:val="00F36B56"/>
    <w:rsid w:val="00F47E13"/>
    <w:rsid w:val="00F55B1F"/>
    <w:rsid w:val="00F934E6"/>
    <w:rsid w:val="00F95771"/>
    <w:rsid w:val="00FC5E69"/>
    <w:rsid w:val="00FD004C"/>
    <w:rsid w:val="00FD3495"/>
    <w:rsid w:val="00FD559A"/>
    <w:rsid w:val="00FD5F8C"/>
    <w:rsid w:val="00FD6815"/>
    <w:rsid w:val="00FE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8"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Blue Sky Utility 2017 II- Q2 2018 Performance</a:t>
            </a:r>
            <a:endParaRPr lang="en-US">
              <a:effectLst/>
            </a:endParaRPr>
          </a:p>
        </c:rich>
      </c:tx>
      <c:layout>
        <c:manualLayout>
          <c:xMode val="edge"/>
          <c:yMode val="edge"/>
          <c:x val="0.1507777777777777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'Hanford Performance reporting'!$C$25</c:f>
              <c:strCache>
                <c:ptCount val="1"/>
                <c:pt idx="0">
                  <c:v>Estimated Production (kWh)</c:v>
                </c:pt>
              </c:strCache>
            </c:strRef>
          </c:tx>
          <c:spPr>
            <a:solidFill>
              <a:srgbClr val="0070C0"/>
            </a:solidFill>
            <a:ln>
              <a:noFill/>
            </a:ln>
            <a:effectLst/>
          </c:spPr>
          <c:invertIfNegative val="0"/>
          <c:cat>
            <c:strRef>
              <c:f>'Hanford Performance reporting'!$B$26:$B$28</c:f>
              <c:strCache>
                <c:ptCount val="3"/>
                <c:pt idx="0">
                  <c:v>April</c:v>
                </c:pt>
                <c:pt idx="1">
                  <c:v>May</c:v>
                </c:pt>
                <c:pt idx="2">
                  <c:v>June</c:v>
                </c:pt>
              </c:strCache>
            </c:strRef>
          </c:cat>
          <c:val>
            <c:numRef>
              <c:f>'Hanford Performance reporting'!$C$26:$C$28</c:f>
              <c:numCache>
                <c:formatCode>_(* #,##0_);_(* \(#,##0\);_(* "-"??_);_(@_)</c:formatCode>
                <c:ptCount val="3"/>
                <c:pt idx="0">
                  <c:v>327000</c:v>
                </c:pt>
                <c:pt idx="1">
                  <c:v>356500</c:v>
                </c:pt>
                <c:pt idx="2">
                  <c:v>372300</c:v>
                </c:pt>
              </c:numCache>
            </c:numRef>
          </c:val>
          <c:extLst>
            <c:ext xmlns:c16="http://schemas.microsoft.com/office/drawing/2014/chart" uri="{C3380CC4-5D6E-409C-BE32-E72D297353CC}">
              <c16:uniqueId val="{00000000-B2D2-44F5-96A9-40071718044D}"/>
            </c:ext>
          </c:extLst>
        </c:ser>
        <c:ser>
          <c:idx val="1"/>
          <c:order val="1"/>
          <c:tx>
            <c:strRef>
              <c:f>'Hanford Performance reporting'!$D$25</c:f>
              <c:strCache>
                <c:ptCount val="1"/>
                <c:pt idx="0">
                  <c:v>Energy Production (kWh)</c:v>
                </c:pt>
              </c:strCache>
            </c:strRef>
          </c:tx>
          <c:spPr>
            <a:solidFill>
              <a:schemeClr val="accent2"/>
            </a:solidFill>
            <a:ln>
              <a:noFill/>
            </a:ln>
            <a:effectLst/>
          </c:spPr>
          <c:invertIfNegative val="0"/>
          <c:cat>
            <c:strRef>
              <c:f>'Hanford Performance reporting'!$B$26:$B$28</c:f>
              <c:strCache>
                <c:ptCount val="3"/>
                <c:pt idx="0">
                  <c:v>April</c:v>
                </c:pt>
                <c:pt idx="1">
                  <c:v>May</c:v>
                </c:pt>
                <c:pt idx="2">
                  <c:v>June</c:v>
                </c:pt>
              </c:strCache>
            </c:strRef>
          </c:cat>
          <c:val>
            <c:numRef>
              <c:f>'Hanford Performance reporting'!$D$26:$D$28</c:f>
              <c:numCache>
                <c:formatCode>_(* #,##0_);_(* \(#,##0\);_(* "-"??_);_(@_)</c:formatCode>
                <c:ptCount val="3"/>
                <c:pt idx="0">
                  <c:v>252880.15850000005</c:v>
                </c:pt>
                <c:pt idx="1">
                  <c:v>276925.48050000001</c:v>
                </c:pt>
                <c:pt idx="2">
                  <c:v>262169.45900000015</c:v>
                </c:pt>
              </c:numCache>
            </c:numRef>
          </c:val>
          <c:extLst>
            <c:ext xmlns:c16="http://schemas.microsoft.com/office/drawing/2014/chart" uri="{C3380CC4-5D6E-409C-BE32-E72D297353CC}">
              <c16:uniqueId val="{00000001-B2D2-44F5-96A9-40071718044D}"/>
            </c:ext>
          </c:extLst>
        </c:ser>
        <c:dLbls>
          <c:showLegendKey val="0"/>
          <c:showVal val="0"/>
          <c:showCatName val="0"/>
          <c:showSerName val="0"/>
          <c:showPercent val="0"/>
          <c:showBubbleSize val="0"/>
        </c:dLbls>
        <c:gapWidth val="219"/>
        <c:overlap val="-27"/>
        <c:axId val="485233344"/>
        <c:axId val="485233672"/>
      </c:barChart>
      <c:catAx>
        <c:axId val="48523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33672"/>
        <c:crosses val="autoZero"/>
        <c:auto val="1"/>
        <c:lblAlgn val="ctr"/>
        <c:lblOffset val="100"/>
        <c:noMultiLvlLbl val="0"/>
      </c:catAx>
      <c:valAx>
        <c:axId val="485233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Production (kWh)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3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4861-F9C8-401F-8B58-437CDD2A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Lucas May</cp:lastModifiedBy>
  <cp:revision>239</cp:revision>
  <cp:lastPrinted>2018-08-02T18:34:00Z</cp:lastPrinted>
  <dcterms:created xsi:type="dcterms:W3CDTF">2018-05-22T22:52:00Z</dcterms:created>
  <dcterms:modified xsi:type="dcterms:W3CDTF">2018-08-02T18:38:00Z</dcterms:modified>
</cp:coreProperties>
</file>