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9984" w14:textId="77777777" w:rsidR="003B08ED" w:rsidRPr="003B08ED" w:rsidRDefault="00EF057F" w:rsidP="003B08E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F057F">
        <w:rPr>
          <w:rFonts w:ascii="Aptos" w:eastAsia="Times New Roman" w:hAnsi="Aptos" w:cs="Times New Roman"/>
          <w:noProof/>
          <w:kern w:val="0"/>
        </w:rPr>
        <w:pict w14:anchorId="140805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1B49E7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1. “Daily Energy Drinks TRIPLE Your Risk of Heart Palpitations!”</w:t>
      </w:r>
    </w:p>
    <w:p w14:paraId="0CEEDA71" w14:textId="77777777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Given:</w:t>
      </w:r>
    </w:p>
    <w:p w14:paraId="423EEB61" w14:textId="77777777" w:rsidR="003B08ED" w:rsidRPr="003B08ED" w:rsidRDefault="003B08ED" w:rsidP="003B0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Among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1,000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non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drinkers: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10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develop palpitations.</w:t>
      </w:r>
    </w:p>
    <w:p w14:paraId="02D8C946" w14:textId="77777777" w:rsidR="003B08ED" w:rsidRPr="003B08ED" w:rsidRDefault="003B08ED" w:rsidP="003B0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Among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1,000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daily drinkers: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30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develop palpitations.</w:t>
      </w:r>
    </w:p>
    <w:p w14:paraId="51AE3E85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(a) How many extra people develop palpitations?</w:t>
      </w:r>
    </w:p>
    <w:p w14:paraId="24A16816" w14:textId="77777777" w:rsidR="003B08ED" w:rsidRPr="003B08ED" w:rsidRDefault="003B08ED" w:rsidP="003B0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Non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drinkers: 10 cases per 1,000 (1.0%)</w:t>
      </w:r>
    </w:p>
    <w:p w14:paraId="5F22D075" w14:textId="77777777" w:rsidR="003B08ED" w:rsidRPr="003B08ED" w:rsidRDefault="003B08ED" w:rsidP="003B0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Daily drinkers: 30 cases per 1,000 (3.0%)</w:t>
      </w:r>
    </w:p>
    <w:p w14:paraId="55A408BF" w14:textId="77777777" w:rsidR="003B08ED" w:rsidRPr="003B08ED" w:rsidRDefault="003B08ED" w:rsidP="003B0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Extra cases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= 30 − 10 = 20 more palpitations per 1,000 people.</w:t>
      </w:r>
    </w:p>
    <w:p w14:paraId="10F064FA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(b) Relative risk (RR)</w:t>
      </w:r>
    </w:p>
    <w:p w14:paraId="014BD7FC" w14:textId="1A899734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2B7A5373" wp14:editId="51B02F89">
            <wp:extent cx="4474723" cy="618143"/>
            <wp:effectExtent l="0" t="0" r="0" b="4445"/>
            <wp:docPr id="1074983963" name="Picture 1" descr="A close-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3963" name="Picture 1" descr="A close-up of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215" cy="63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63F2" w14:textId="24DE5ABD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gramStart"/>
      <w:r w:rsidRPr="003B08ED">
        <w:rPr>
          <w:rFonts w:ascii="Aptos" w:eastAsia="Times New Roman" w:hAnsi="Aptos" w:cs="Times New Roman"/>
          <w:kern w:val="0"/>
          <w14:ligatures w14:val="none"/>
        </w:rPr>
        <w:t>So</w:t>
      </w:r>
      <w:proofErr w:type="gramEnd"/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the relative risk is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3</w:t>
      </w:r>
      <w:r w:rsidRPr="003B08ED">
        <w:rPr>
          <w:rFonts w:ascii="Aptos" w:eastAsia="Times New Roman" w:hAnsi="Aptos" w:cs="Times New Roman"/>
          <w:kern w:val="0"/>
          <w14:ligatures w14:val="none"/>
        </w:rPr>
        <w:t>—i.e., “triple.”</w:t>
      </w:r>
    </w:p>
    <w:p w14:paraId="768A1BF1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(c) Rewriting the headline in absolute terms</w:t>
      </w:r>
    </w:p>
    <w:p w14:paraId="2B5EF55F" w14:textId="77777777" w:rsidR="003B08ED" w:rsidRPr="003B08ED" w:rsidRDefault="003B08ED" w:rsidP="003B0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 risk = 1.0%</w:t>
      </w:r>
    </w:p>
    <w:p w14:paraId="74F80AE9" w14:textId="77777777" w:rsidR="003B08ED" w:rsidRPr="003B08ED" w:rsidRDefault="003B08ED" w:rsidP="003B0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New risk = 3.0%</w:t>
      </w:r>
    </w:p>
    <w:p w14:paraId="6AC77ED5" w14:textId="77777777" w:rsidR="003B08ED" w:rsidRPr="003B08ED" w:rsidRDefault="003B08ED" w:rsidP="003B0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“Triples your risk” translates to an increase of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2 percentage points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(from 1% to 3%). In terms of frequency, that’s 20 extra cases per 1,000 people. This absolute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risk framing is less sensational than simply saying “triples your risk.”</w:t>
      </w:r>
    </w:p>
    <w:p w14:paraId="0259AAB1" w14:textId="77777777" w:rsidR="003B08ED" w:rsidRPr="003B08ED" w:rsidRDefault="00EF057F" w:rsidP="003B08E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F057F">
        <w:rPr>
          <w:rFonts w:ascii="Aptos" w:eastAsia="Times New Roman" w:hAnsi="Aptos" w:cs="Times New Roman"/>
          <w:noProof/>
          <w:kern w:val="0"/>
        </w:rPr>
        <w:pict w14:anchorId="12BFE3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F5FEC6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2. “Study: Owning a Cat Raises Breast Cancer Risk by 15%”</w:t>
      </w:r>
    </w:p>
    <w:p w14:paraId="2C3BCDCC" w14:textId="77777777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Given:</w:t>
      </w:r>
    </w:p>
    <w:p w14:paraId="0D52C9C1" w14:textId="77777777" w:rsidR="003B08ED" w:rsidRPr="003B08ED" w:rsidRDefault="003B08ED" w:rsidP="003B0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 (non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cat owners): 200 out of 10,000 develop breast cancer (2%).</w:t>
      </w:r>
    </w:p>
    <w:p w14:paraId="3C129EE5" w14:textId="77777777" w:rsidR="003B08ED" w:rsidRPr="003B08ED" w:rsidRDefault="003B08ED" w:rsidP="003B0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Cat owners: 15% higher risk than baseline.</w:t>
      </w:r>
    </w:p>
    <w:p w14:paraId="3166905B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(a) Expected number among cat owners</w:t>
      </w:r>
    </w:p>
    <w:p w14:paraId="46BCD2BE" w14:textId="77777777" w:rsidR="003B08ED" w:rsidRPr="003B08ED" w:rsidRDefault="003B08ED" w:rsidP="003B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 risk = 2%</w:t>
      </w:r>
    </w:p>
    <w:p w14:paraId="54ED9B23" w14:textId="77777777" w:rsidR="003B08ED" w:rsidRPr="003B08ED" w:rsidRDefault="003B08ED" w:rsidP="003B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15% increase → new risk = 2% × (1 + 0.15) = 2.0% × 1.15 = 2.3%.</w:t>
      </w:r>
    </w:p>
    <w:p w14:paraId="3A657EEF" w14:textId="77777777" w:rsidR="003B08ED" w:rsidRPr="003B08ED" w:rsidRDefault="003B08ED" w:rsidP="003B0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Out of 10,000 cat owners: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2.3%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of 10,000 →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230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cases.</w:t>
      </w:r>
    </w:p>
    <w:p w14:paraId="62C35BE8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(b) “Extra cases per 10,000 people”</w:t>
      </w:r>
    </w:p>
    <w:p w14:paraId="7BA9BF40" w14:textId="77777777" w:rsidR="003B08ED" w:rsidRPr="003B08ED" w:rsidRDefault="003B08ED" w:rsidP="003B0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 group: 200 cases.</w:t>
      </w:r>
    </w:p>
    <w:p w14:paraId="3A1AF0A3" w14:textId="77777777" w:rsidR="003B08ED" w:rsidRPr="003B08ED" w:rsidRDefault="003B08ED" w:rsidP="003B0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Cat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owner group: 230 cases.</w:t>
      </w:r>
    </w:p>
    <w:p w14:paraId="368E76C1" w14:textId="77777777" w:rsidR="003B08ED" w:rsidRPr="003B08ED" w:rsidRDefault="003B08ED" w:rsidP="003B0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Extra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= 230 − 200 =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30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more cases per 10,000, i.e. 0.3% in absolute terms.</w:t>
      </w:r>
    </w:p>
    <w:p w14:paraId="126EA647" w14:textId="6788D265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(c) Odds ratio</w:t>
      </w:r>
    </w:p>
    <w:p w14:paraId="5699696A" w14:textId="0D89F31B" w:rsidR="003B08ED" w:rsidRPr="003B08ED" w:rsidRDefault="003B08ED" w:rsidP="003B08E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00400491" wp14:editId="60A25FF9">
            <wp:extent cx="3336587" cy="1177141"/>
            <wp:effectExtent l="0" t="0" r="3810" b="4445"/>
            <wp:docPr id="39598424" name="Picture 1" descr="A number and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424" name="Picture 1" descr="A number and numbers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29" cy="11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8ED">
        <w:rPr>
          <w:rFonts w:ascii="Aptos" w:eastAsia="Times New Roman" w:hAnsi="Aptos" w:cs="Times New Roman"/>
          <w:kern w:val="0"/>
          <w14:ligatures w14:val="none"/>
        </w:rPr>
        <w:br/>
        <w:t>This is close to the 15% relative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risk figure but not </w:t>
      </w:r>
      <w:proofErr w:type="gramStart"/>
      <w:r w:rsidRPr="003B08ED">
        <w:rPr>
          <w:rFonts w:ascii="Aptos" w:eastAsia="Times New Roman" w:hAnsi="Aptos" w:cs="Times New Roman"/>
          <w:kern w:val="0"/>
          <w14:ligatures w14:val="none"/>
        </w:rPr>
        <w:t>exactly the same</w:t>
      </w:r>
      <w:proofErr w:type="gramEnd"/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number—an illustration that OR ≈ RR when the baseline risk is small.</w:t>
      </w:r>
    </w:p>
    <w:p w14:paraId="566DE7DD" w14:textId="77777777" w:rsidR="003B08ED" w:rsidRPr="003B08ED" w:rsidRDefault="00EF057F" w:rsidP="003B08E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F057F">
        <w:rPr>
          <w:rFonts w:ascii="Aptos" w:eastAsia="Times New Roman" w:hAnsi="Aptos" w:cs="Times New Roman"/>
          <w:noProof/>
          <w:kern w:val="0"/>
        </w:rPr>
        <w:pict w14:anchorId="66994C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64F9C0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3. “Processed Meat Linked to 20% Higher Bowel Cancer Risk”</w:t>
      </w:r>
    </w:p>
    <w:p w14:paraId="29CE2D3E" w14:textId="77777777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Given:</w:t>
      </w:r>
    </w:p>
    <w:p w14:paraId="65AA6BFA" w14:textId="77777777" w:rsidR="003B08ED" w:rsidRPr="003B08ED" w:rsidRDefault="003B08ED" w:rsidP="003B0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 risk: 6 in 100 (6%).</w:t>
      </w:r>
    </w:p>
    <w:p w14:paraId="55FD4876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(a) New probability if 20% higher</w:t>
      </w:r>
    </w:p>
    <w:p w14:paraId="249CD199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52283731" wp14:editId="556AA59C">
            <wp:extent cx="2616740" cy="323152"/>
            <wp:effectExtent l="0" t="0" r="0" b="0"/>
            <wp:docPr id="3507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689" cy="3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36F0A760" w14:textId="2DAEC3DD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(b) Extra cases per 1,000</w:t>
      </w:r>
    </w:p>
    <w:p w14:paraId="4951E504" w14:textId="77777777" w:rsidR="003B08ED" w:rsidRPr="003B08ED" w:rsidRDefault="003B08ED" w:rsidP="003B0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Baseline: 6% of 1,000 → 60 cases.</w:t>
      </w:r>
    </w:p>
    <w:p w14:paraId="65CBADCE" w14:textId="77777777" w:rsidR="003B08ED" w:rsidRPr="003B08ED" w:rsidRDefault="003B08ED" w:rsidP="003B0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New group: 7.2% of 1,000 → 72 cases.</w:t>
      </w:r>
    </w:p>
    <w:p w14:paraId="51D7B27E" w14:textId="77777777" w:rsidR="003B08ED" w:rsidRPr="003B08ED" w:rsidRDefault="003B08ED" w:rsidP="003B0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Extra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= 72 − 60 = 12 per 1,000.</w:t>
      </w:r>
    </w:p>
    <w:p w14:paraId="5AE772E0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(c) Headline framing</w:t>
      </w:r>
    </w:p>
    <w:p w14:paraId="7C2ED2D0" w14:textId="77777777" w:rsidR="003B08ED" w:rsidRPr="003B08ED" w:rsidRDefault="003B08ED" w:rsidP="003B0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Relative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risk framing: “20% higher” or “20% increase.”</w:t>
      </w:r>
    </w:p>
    <w:p w14:paraId="2B5A74CB" w14:textId="77777777" w:rsidR="003B08ED" w:rsidRPr="003B08ED" w:rsidRDefault="003B08ED" w:rsidP="003B0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Absolute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risk framing: “An additional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1 to 2 cases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for every 100 people.”</w:t>
      </w:r>
      <w:r w:rsidRPr="003B08ED">
        <w:rPr>
          <w:rFonts w:ascii="Aptos" w:eastAsia="Times New Roman" w:hAnsi="Aptos" w:cs="Times New Roman"/>
          <w:kern w:val="0"/>
          <w14:ligatures w14:val="none"/>
        </w:rPr>
        <w:br/>
        <w:t>The second version communicates a smaller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sounding increase, even though both statements are correct.</w:t>
      </w:r>
    </w:p>
    <w:p w14:paraId="483F538E" w14:textId="77777777" w:rsidR="003B08ED" w:rsidRPr="003B08ED" w:rsidRDefault="00EF057F" w:rsidP="003B08E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F057F">
        <w:rPr>
          <w:rFonts w:ascii="Aptos" w:eastAsia="Times New Roman" w:hAnsi="Aptos" w:cs="Times New Roman"/>
          <w:noProof/>
          <w:kern w:val="0"/>
        </w:rPr>
        <w:pict w14:anchorId="222344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755730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4. “University Education Increases Risk of Brain Tumors by 19%”</w:t>
      </w:r>
    </w:p>
    <w:p w14:paraId="709E95CA" w14:textId="77777777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Given:</w:t>
      </w:r>
    </w:p>
    <w:p w14:paraId="0EE55FEB" w14:textId="77777777" w:rsidR="003B08ED" w:rsidRPr="003B08ED" w:rsidRDefault="003B08ED" w:rsidP="003B0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Baseline: 5 in 10,000 people (0.05%) over ten years.</w:t>
      </w:r>
    </w:p>
    <w:p w14:paraId="109D85AD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(a) New expected rate</w:t>
      </w:r>
    </w:p>
    <w:p w14:paraId="40D0C27C" w14:textId="400D2D25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5489CDA4" wp14:editId="26BF04E7">
            <wp:extent cx="3073940" cy="404692"/>
            <wp:effectExtent l="0" t="0" r="0" b="1905"/>
            <wp:docPr id="19602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600" cy="4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8A7C" w14:textId="776034A6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Out of 10,000 people: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6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cases instead of 5.</w:t>
      </w:r>
    </w:p>
    <w:p w14:paraId="75B88951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(b) Alternative headline</w:t>
      </w:r>
    </w:p>
    <w:p w14:paraId="4378D333" w14:textId="77777777" w:rsidR="003B08ED" w:rsidRPr="003B08ED" w:rsidRDefault="003B08ED" w:rsidP="003B0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Instead of “greatly ups your tumor risk,” one might say:</w:t>
      </w:r>
      <w:r w:rsidRPr="003B08ED">
        <w:rPr>
          <w:rFonts w:ascii="Aptos" w:eastAsia="Times New Roman" w:hAnsi="Aptos" w:cs="Times New Roman"/>
          <w:kern w:val="0"/>
          <w14:ligatures w14:val="none"/>
        </w:rPr>
        <w:br/>
        <w:t>“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1 extra case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per 10,000 people over a decade.”</w:t>
      </w:r>
    </w:p>
    <w:p w14:paraId="0D4B1F3A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(c) Interpretation</w:t>
      </w:r>
    </w:p>
    <w:p w14:paraId="15F9A36E" w14:textId="77777777" w:rsidR="003B08ED" w:rsidRPr="003B08ED" w:rsidRDefault="003B08ED" w:rsidP="003B0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Even a “significant” 19% relative jump corresponds to just 1 more tumor per 10,000 people. The small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baseline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rate makes the absolute change minor.</w:t>
      </w:r>
    </w:p>
    <w:p w14:paraId="24FF5EA5" w14:textId="77777777" w:rsidR="003B08ED" w:rsidRPr="003B08ED" w:rsidRDefault="00EF057F" w:rsidP="003B08E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F057F">
        <w:rPr>
          <w:rFonts w:ascii="Aptos" w:eastAsia="Times New Roman" w:hAnsi="Aptos" w:cs="Times New Roman"/>
          <w:noProof/>
          <w:kern w:val="0"/>
        </w:rPr>
        <w:pict w14:anchorId="3DFAB8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DEB5CE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5. (Optional) “Twice as Likely to Catch the Flu if You Have Pets at Home”</w:t>
      </w:r>
    </w:p>
    <w:p w14:paraId="41F1A62F" w14:textId="77777777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Given:</w:t>
      </w:r>
    </w:p>
    <w:p w14:paraId="6E8126C6" w14:textId="77777777" w:rsidR="003B08ED" w:rsidRPr="003B08ED" w:rsidRDefault="003B08ED" w:rsidP="003B0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2,000 non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pet households: 100 had flu → 100/2000 = 5%.</w:t>
      </w:r>
    </w:p>
    <w:p w14:paraId="6BB961A1" w14:textId="77777777" w:rsidR="003B08ED" w:rsidRPr="003B08ED" w:rsidRDefault="003B08ED" w:rsidP="003B0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2,000 pet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owning households: 200 had flu → 200/2000 = 10%.</w:t>
      </w:r>
    </w:p>
    <w:p w14:paraId="41E34650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(a) Relative risk</w:t>
      </w:r>
    </w:p>
    <w:p w14:paraId="5B075B8C" w14:textId="77777777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52FB9AEA" wp14:editId="1D1E1471">
            <wp:extent cx="1410511" cy="557239"/>
            <wp:effectExtent l="0" t="0" r="0" b="1905"/>
            <wp:docPr id="2074061401" name="Picture 1" descr="A black number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1401" name="Picture 1" descr="A black numbers and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4477" cy="5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63C59BD4" w14:textId="2602F896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gramStart"/>
      <w:r w:rsidRPr="003B08ED">
        <w:rPr>
          <w:rFonts w:ascii="Aptos" w:eastAsia="Times New Roman" w:hAnsi="Aptos" w:cs="Times New Roman"/>
          <w:kern w:val="0"/>
          <w14:ligatures w14:val="none"/>
        </w:rPr>
        <w:t>So</w:t>
      </w:r>
      <w:proofErr w:type="gramEnd"/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pet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owning households are 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twice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as likely to report flu.</w:t>
      </w:r>
    </w:p>
    <w:p w14:paraId="2EF802B0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(b) Odds ratio</w:t>
      </w:r>
    </w:p>
    <w:p w14:paraId="4871B51A" w14:textId="6B6B3193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0A59D788" wp14:editId="0A95F6A9">
            <wp:extent cx="3735421" cy="1078468"/>
            <wp:effectExtent l="0" t="0" r="0" b="1270"/>
            <wp:docPr id="1039350447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0447" name="Picture 1" descr="A math equations with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3119" cy="1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5BF2" w14:textId="444FE785" w:rsidR="003B08ED" w:rsidRPr="003B08ED" w:rsidRDefault="003B08ED" w:rsidP="003B08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The odds ratio (2.11) is slightly higher than the relative risk (2.0), a typical difference when baseline risk is not extremely small.</w:t>
      </w:r>
    </w:p>
    <w:p w14:paraId="3EBD0EA2" w14:textId="77777777" w:rsidR="003B08ED" w:rsidRPr="003B08ED" w:rsidRDefault="003B08ED" w:rsidP="003B08E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(c) Absolute</w:t>
      </w:r>
      <w:r w:rsidRPr="003B08ED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‐</w:t>
      </w:r>
      <w:r w:rsidRPr="003B08ED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risk framing</w:t>
      </w:r>
    </w:p>
    <w:p w14:paraId="75E72DC5" w14:textId="77777777" w:rsidR="003B08ED" w:rsidRPr="003B08ED" w:rsidRDefault="003B08ED" w:rsidP="003B0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Non</w:t>
      </w:r>
      <w:r w:rsidRPr="003B08ED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3B08ED">
        <w:rPr>
          <w:rFonts w:ascii="Aptos" w:eastAsia="Times New Roman" w:hAnsi="Aptos" w:cs="Times New Roman"/>
          <w:kern w:val="0"/>
          <w14:ligatures w14:val="none"/>
        </w:rPr>
        <w:t>pet households: 100 out of 2,000.</w:t>
      </w:r>
    </w:p>
    <w:p w14:paraId="40D3E55D" w14:textId="77777777" w:rsidR="003B08ED" w:rsidRPr="003B08ED" w:rsidRDefault="003B08ED" w:rsidP="003B0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Pet households: 200 out of 2,000.</w:t>
      </w:r>
    </w:p>
    <w:p w14:paraId="1C12F1EF" w14:textId="77777777" w:rsidR="003B08ED" w:rsidRPr="003B08ED" w:rsidRDefault="003B08ED" w:rsidP="003B0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B08ED">
        <w:rPr>
          <w:rFonts w:ascii="Aptos" w:eastAsia="Times New Roman" w:hAnsi="Aptos" w:cs="Times New Roman"/>
          <w:kern w:val="0"/>
          <w14:ligatures w14:val="none"/>
        </w:rPr>
        <w:t>In absolute terms, “</w:t>
      </w:r>
      <w:r w:rsidRPr="003B08ED">
        <w:rPr>
          <w:rFonts w:ascii="Aptos" w:eastAsia="Times New Roman" w:hAnsi="Aptos" w:cs="Times New Roman"/>
          <w:b/>
          <w:bCs/>
          <w:kern w:val="0"/>
          <w14:ligatures w14:val="none"/>
        </w:rPr>
        <w:t>an additional 100 households</w:t>
      </w:r>
      <w:r w:rsidRPr="003B08ED">
        <w:rPr>
          <w:rFonts w:ascii="Aptos" w:eastAsia="Times New Roman" w:hAnsi="Aptos" w:cs="Times New Roman"/>
          <w:kern w:val="0"/>
          <w14:ligatures w14:val="none"/>
        </w:rPr>
        <w:t xml:space="preserve"> (per 2,000) had flu” is less dramatic than “twice as likely.”</w:t>
      </w:r>
    </w:p>
    <w:p w14:paraId="65DAC51B" w14:textId="13143D33" w:rsidR="00582B2F" w:rsidRPr="003B08ED" w:rsidRDefault="00582B2F" w:rsidP="003B08E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sectPr w:rsidR="00582B2F" w:rsidRPr="003B0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1CE"/>
    <w:multiLevelType w:val="multilevel"/>
    <w:tmpl w:val="3A0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C7B"/>
    <w:multiLevelType w:val="multilevel"/>
    <w:tmpl w:val="FD7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3515"/>
    <w:multiLevelType w:val="multilevel"/>
    <w:tmpl w:val="64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11035"/>
    <w:multiLevelType w:val="multilevel"/>
    <w:tmpl w:val="055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276CE"/>
    <w:multiLevelType w:val="multilevel"/>
    <w:tmpl w:val="274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06537"/>
    <w:multiLevelType w:val="multilevel"/>
    <w:tmpl w:val="8CB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C286D"/>
    <w:multiLevelType w:val="multilevel"/>
    <w:tmpl w:val="3A6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C1EAD"/>
    <w:multiLevelType w:val="multilevel"/>
    <w:tmpl w:val="397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7BCC"/>
    <w:multiLevelType w:val="multilevel"/>
    <w:tmpl w:val="3A9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D2BEF"/>
    <w:multiLevelType w:val="multilevel"/>
    <w:tmpl w:val="646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D3A93"/>
    <w:multiLevelType w:val="multilevel"/>
    <w:tmpl w:val="9ED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636AE"/>
    <w:multiLevelType w:val="multilevel"/>
    <w:tmpl w:val="C7B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40DA1"/>
    <w:multiLevelType w:val="multilevel"/>
    <w:tmpl w:val="097A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A77BA"/>
    <w:multiLevelType w:val="multilevel"/>
    <w:tmpl w:val="B32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24658"/>
    <w:multiLevelType w:val="multilevel"/>
    <w:tmpl w:val="AA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15ECC"/>
    <w:multiLevelType w:val="multilevel"/>
    <w:tmpl w:val="00E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90E02"/>
    <w:multiLevelType w:val="multilevel"/>
    <w:tmpl w:val="224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620966">
    <w:abstractNumId w:val="11"/>
  </w:num>
  <w:num w:numId="2" w16cid:durableId="1113405392">
    <w:abstractNumId w:val="2"/>
  </w:num>
  <w:num w:numId="3" w16cid:durableId="1483767276">
    <w:abstractNumId w:val="14"/>
  </w:num>
  <w:num w:numId="4" w16cid:durableId="1556283558">
    <w:abstractNumId w:val="7"/>
  </w:num>
  <w:num w:numId="5" w16cid:durableId="184370431">
    <w:abstractNumId w:val="5"/>
  </w:num>
  <w:num w:numId="6" w16cid:durableId="313224371">
    <w:abstractNumId w:val="10"/>
  </w:num>
  <w:num w:numId="7" w16cid:durableId="1705860379">
    <w:abstractNumId w:val="13"/>
  </w:num>
  <w:num w:numId="8" w16cid:durableId="1086536381">
    <w:abstractNumId w:val="6"/>
  </w:num>
  <w:num w:numId="9" w16cid:durableId="1936552357">
    <w:abstractNumId w:val="3"/>
  </w:num>
  <w:num w:numId="10" w16cid:durableId="242691644">
    <w:abstractNumId w:val="4"/>
  </w:num>
  <w:num w:numId="11" w16cid:durableId="137651426">
    <w:abstractNumId w:val="15"/>
  </w:num>
  <w:num w:numId="12" w16cid:durableId="244733164">
    <w:abstractNumId w:val="0"/>
  </w:num>
  <w:num w:numId="13" w16cid:durableId="1548639982">
    <w:abstractNumId w:val="8"/>
  </w:num>
  <w:num w:numId="14" w16cid:durableId="1536041356">
    <w:abstractNumId w:val="1"/>
  </w:num>
  <w:num w:numId="15" w16cid:durableId="810171889">
    <w:abstractNumId w:val="9"/>
  </w:num>
  <w:num w:numId="16" w16cid:durableId="2104759802">
    <w:abstractNumId w:val="16"/>
  </w:num>
  <w:num w:numId="17" w16cid:durableId="1834295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ED"/>
    <w:rsid w:val="003B08ED"/>
    <w:rsid w:val="00582B2F"/>
    <w:rsid w:val="006B03A2"/>
    <w:rsid w:val="008F507A"/>
    <w:rsid w:val="00997783"/>
    <w:rsid w:val="00A52305"/>
    <w:rsid w:val="00CB5940"/>
    <w:rsid w:val="00EC5420"/>
    <w:rsid w:val="00EF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3773"/>
  <w15:chartTrackingRefBased/>
  <w15:docId w15:val="{8C97FCB9-B598-7E47-AFFA-05023404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08ED"/>
    <w:rPr>
      <w:b/>
      <w:bCs/>
    </w:rPr>
  </w:style>
  <w:style w:type="character" w:customStyle="1" w:styleId="katex-mathml">
    <w:name w:val="katex-mathml"/>
    <w:basedOn w:val="DefaultParagraphFont"/>
    <w:rsid w:val="003B08ED"/>
  </w:style>
  <w:style w:type="character" w:customStyle="1" w:styleId="mord">
    <w:name w:val="mord"/>
    <w:basedOn w:val="DefaultParagraphFont"/>
    <w:rsid w:val="003B08ED"/>
  </w:style>
  <w:style w:type="character" w:customStyle="1" w:styleId="mrel">
    <w:name w:val="mrel"/>
    <w:basedOn w:val="DefaultParagraphFont"/>
    <w:rsid w:val="003B08ED"/>
  </w:style>
  <w:style w:type="character" w:customStyle="1" w:styleId="mopen">
    <w:name w:val="mopen"/>
    <w:basedOn w:val="DefaultParagraphFont"/>
    <w:rsid w:val="003B08ED"/>
  </w:style>
  <w:style w:type="character" w:customStyle="1" w:styleId="vlist-s">
    <w:name w:val="vlist-s"/>
    <w:basedOn w:val="DefaultParagraphFont"/>
    <w:rsid w:val="003B08ED"/>
  </w:style>
  <w:style w:type="character" w:customStyle="1" w:styleId="mclose">
    <w:name w:val="mclose"/>
    <w:basedOn w:val="DefaultParagraphFont"/>
    <w:rsid w:val="003B08ED"/>
  </w:style>
  <w:style w:type="character" w:customStyle="1" w:styleId="mbin">
    <w:name w:val="mbin"/>
    <w:basedOn w:val="DefaultParagraphFont"/>
    <w:rsid w:val="003B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5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Wodeyar, Anirudh (DACS)</dc:creator>
  <cp:keywords/>
  <dc:description/>
  <cp:lastModifiedBy>Wodeyar, Anirudh (DACS)</cp:lastModifiedBy>
  <cp:revision>1</cp:revision>
  <dcterms:created xsi:type="dcterms:W3CDTF">2025-04-09T08:18:00Z</dcterms:created>
  <dcterms:modified xsi:type="dcterms:W3CDTF">2025-04-09T08:24:00Z</dcterms:modified>
</cp:coreProperties>
</file>