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D4C0C" w14:textId="1AA20667" w:rsidR="00C83DD7" w:rsidRPr="00011DE9" w:rsidRDefault="00C83DD7" w:rsidP="00C83DD7">
      <w:pPr>
        <w:pStyle w:val="NormaleWeb"/>
        <w:shd w:val="clear" w:color="auto" w:fill="FFFFFF"/>
        <w:spacing w:before="120" w:beforeAutospacing="0" w:after="120" w:afterAutospacing="0"/>
        <w:jc w:val="both"/>
        <w:rPr>
          <w:rFonts w:ascii="Tahoma" w:hAnsi="Tahoma" w:cs="Tahoma"/>
          <w:color w:val="202122"/>
          <w:sz w:val="28"/>
          <w:szCs w:val="28"/>
        </w:rPr>
      </w:pPr>
      <w:r w:rsidRPr="00011DE9">
        <w:rPr>
          <w:rFonts w:ascii="Tahoma" w:hAnsi="Tahoma" w:cs="Tahoma"/>
          <w:color w:val="202122"/>
          <w:sz w:val="28"/>
          <w:szCs w:val="28"/>
        </w:rPr>
        <w:t>LO STATUTO ALBERTINO</w:t>
      </w:r>
    </w:p>
    <w:p w14:paraId="518B36DF" w14:textId="04BDC00C" w:rsidR="006C5916" w:rsidRPr="00011DE9" w:rsidRDefault="006C5916" w:rsidP="00C83DD7">
      <w:pPr>
        <w:pStyle w:val="NormaleWeb"/>
        <w:shd w:val="clear" w:color="auto" w:fill="FFFFFF"/>
        <w:spacing w:before="120" w:beforeAutospacing="0" w:after="120" w:afterAutospacing="0"/>
        <w:jc w:val="both"/>
        <w:rPr>
          <w:rFonts w:ascii="Tahoma" w:hAnsi="Tahoma" w:cs="Tahoma"/>
          <w:color w:val="202122"/>
          <w:sz w:val="28"/>
          <w:szCs w:val="28"/>
        </w:rPr>
      </w:pPr>
      <w:r w:rsidRPr="00011DE9">
        <w:rPr>
          <w:rFonts w:ascii="Tahoma" w:hAnsi="Tahoma" w:cs="Tahoma"/>
          <w:color w:val="202122"/>
          <w:sz w:val="28"/>
          <w:szCs w:val="28"/>
        </w:rPr>
        <w:t>Lo </w:t>
      </w:r>
      <w:r w:rsidRPr="00011DE9">
        <w:rPr>
          <w:rFonts w:ascii="Tahoma" w:hAnsi="Tahoma" w:cs="Tahoma"/>
          <w:b/>
          <w:bCs/>
          <w:color w:val="202122"/>
          <w:sz w:val="28"/>
          <w:szCs w:val="28"/>
        </w:rPr>
        <w:t>Statuto del Regno</w:t>
      </w:r>
      <w:r w:rsidRPr="00011DE9">
        <w:rPr>
          <w:rFonts w:ascii="Tahoma" w:hAnsi="Tahoma" w:cs="Tahoma"/>
          <w:color w:val="202122"/>
          <w:sz w:val="28"/>
          <w:szCs w:val="28"/>
        </w:rPr>
        <w:t> o </w:t>
      </w:r>
      <w:r w:rsidRPr="00011DE9">
        <w:rPr>
          <w:rFonts w:ascii="Tahoma" w:hAnsi="Tahoma" w:cs="Tahoma"/>
          <w:b/>
          <w:bCs/>
          <w:color w:val="202122"/>
          <w:sz w:val="28"/>
          <w:szCs w:val="28"/>
        </w:rPr>
        <w:t>Statuto Fondamentale della Monarchia di Savoia del 4 marzo 1848</w:t>
      </w:r>
      <w:r w:rsidRPr="00011DE9">
        <w:rPr>
          <w:rFonts w:ascii="Tahoma" w:hAnsi="Tahoma" w:cs="Tahoma"/>
          <w:color w:val="202122"/>
          <w:sz w:val="28"/>
          <w:szCs w:val="28"/>
        </w:rPr>
        <w:t> (noto come </w:t>
      </w:r>
      <w:r w:rsidRPr="00011DE9">
        <w:rPr>
          <w:rFonts w:ascii="Tahoma" w:hAnsi="Tahoma" w:cs="Tahoma"/>
          <w:b/>
          <w:bCs/>
          <w:color w:val="202122"/>
          <w:sz w:val="28"/>
          <w:szCs w:val="28"/>
        </w:rPr>
        <w:t>Statuto Albertino</w:t>
      </w:r>
      <w:r w:rsidRPr="00011DE9">
        <w:rPr>
          <w:rFonts w:ascii="Tahoma" w:hAnsi="Tahoma" w:cs="Tahoma"/>
          <w:color w:val="202122"/>
          <w:sz w:val="28"/>
          <w:szCs w:val="28"/>
        </w:rPr>
        <w:t>, dal nome del re che lo promulgò, </w:t>
      </w:r>
      <w:hyperlink r:id="rId4" w:tooltip="Carlo Alberto di Savoia" w:history="1">
        <w:r w:rsidRPr="00011DE9">
          <w:rPr>
            <w:rStyle w:val="Collegamentoipertestuale"/>
            <w:rFonts w:ascii="Tahoma" w:hAnsi="Tahoma" w:cs="Tahoma"/>
            <w:color w:val="0645AD"/>
            <w:sz w:val="28"/>
            <w:szCs w:val="28"/>
          </w:rPr>
          <w:t>Carlo Alberto di Savoia</w:t>
        </w:r>
      </w:hyperlink>
      <w:r w:rsidRPr="00011DE9">
        <w:rPr>
          <w:rFonts w:ascii="Tahoma" w:hAnsi="Tahoma" w:cs="Tahoma"/>
          <w:color w:val="202122"/>
          <w:sz w:val="28"/>
          <w:szCs w:val="28"/>
        </w:rPr>
        <w:t>), fu lo </w:t>
      </w:r>
      <w:hyperlink r:id="rId5" w:tooltip="Statuto costituzionale" w:history="1">
        <w:r w:rsidRPr="00011DE9">
          <w:rPr>
            <w:rStyle w:val="Collegamentoipertestuale"/>
            <w:rFonts w:ascii="Tahoma" w:hAnsi="Tahoma" w:cs="Tahoma"/>
            <w:color w:val="0645AD"/>
            <w:sz w:val="28"/>
            <w:szCs w:val="28"/>
          </w:rPr>
          <w:t>statuto costituzionale</w:t>
        </w:r>
      </w:hyperlink>
      <w:r w:rsidRPr="00011DE9">
        <w:rPr>
          <w:rFonts w:ascii="Tahoma" w:hAnsi="Tahoma" w:cs="Tahoma"/>
          <w:color w:val="202122"/>
          <w:sz w:val="28"/>
          <w:szCs w:val="28"/>
        </w:rPr>
        <w:t> adottato dal </w:t>
      </w:r>
      <w:hyperlink r:id="rId6" w:tooltip="Regno di Sardegna (1720-1861)" w:history="1">
        <w:r w:rsidRPr="00011DE9">
          <w:rPr>
            <w:rStyle w:val="Collegamentoipertestuale"/>
            <w:rFonts w:ascii="Tahoma" w:hAnsi="Tahoma" w:cs="Tahoma"/>
            <w:color w:val="0645AD"/>
            <w:sz w:val="28"/>
            <w:szCs w:val="28"/>
          </w:rPr>
          <w:t>Regno di Sardegna</w:t>
        </w:r>
      </w:hyperlink>
      <w:r w:rsidRPr="00011DE9">
        <w:rPr>
          <w:rFonts w:ascii="Tahoma" w:hAnsi="Tahoma" w:cs="Tahoma"/>
          <w:color w:val="202122"/>
          <w:sz w:val="28"/>
          <w:szCs w:val="28"/>
        </w:rPr>
        <w:t> il 4 marzo </w:t>
      </w:r>
      <w:hyperlink r:id="rId7" w:tooltip="1848" w:history="1">
        <w:r w:rsidRPr="00011DE9">
          <w:rPr>
            <w:rStyle w:val="Collegamentoipertestuale"/>
            <w:rFonts w:ascii="Tahoma" w:hAnsi="Tahoma" w:cs="Tahoma"/>
            <w:color w:val="0645AD"/>
            <w:sz w:val="28"/>
            <w:szCs w:val="28"/>
          </w:rPr>
          <w:t>1848</w:t>
        </w:r>
      </w:hyperlink>
      <w:r w:rsidRPr="00011DE9">
        <w:rPr>
          <w:rFonts w:ascii="Tahoma" w:hAnsi="Tahoma" w:cs="Tahoma"/>
          <w:color w:val="202122"/>
          <w:sz w:val="28"/>
          <w:szCs w:val="28"/>
        </w:rPr>
        <w:t> a </w:t>
      </w:r>
      <w:hyperlink r:id="rId8" w:tooltip="Torino" w:history="1">
        <w:r w:rsidRPr="00011DE9">
          <w:rPr>
            <w:rStyle w:val="Collegamentoipertestuale"/>
            <w:rFonts w:ascii="Tahoma" w:hAnsi="Tahoma" w:cs="Tahoma"/>
            <w:color w:val="0645AD"/>
            <w:sz w:val="28"/>
            <w:szCs w:val="28"/>
          </w:rPr>
          <w:t>Torino</w:t>
        </w:r>
      </w:hyperlink>
      <w:r w:rsidRPr="00011DE9">
        <w:rPr>
          <w:rFonts w:ascii="Tahoma" w:hAnsi="Tahoma" w:cs="Tahoma"/>
          <w:color w:val="202122"/>
          <w:sz w:val="28"/>
          <w:szCs w:val="28"/>
        </w:rPr>
        <w:t>.</w:t>
      </w:r>
    </w:p>
    <w:p w14:paraId="64C4FBF3" w14:textId="77777777" w:rsidR="006C5916" w:rsidRPr="00011DE9" w:rsidRDefault="006C5916" w:rsidP="00C83DD7">
      <w:pPr>
        <w:pStyle w:val="NormaleWeb"/>
        <w:shd w:val="clear" w:color="auto" w:fill="FFFFFF"/>
        <w:spacing w:before="120" w:beforeAutospacing="0" w:after="120" w:afterAutospacing="0"/>
        <w:jc w:val="both"/>
        <w:rPr>
          <w:rFonts w:ascii="Tahoma" w:hAnsi="Tahoma" w:cs="Tahoma"/>
          <w:color w:val="202122"/>
          <w:sz w:val="28"/>
          <w:szCs w:val="28"/>
        </w:rPr>
      </w:pPr>
      <w:r w:rsidRPr="00011DE9">
        <w:rPr>
          <w:rFonts w:ascii="Tahoma" w:hAnsi="Tahoma" w:cs="Tahoma"/>
          <w:color w:val="202122"/>
          <w:sz w:val="28"/>
          <w:szCs w:val="28"/>
        </w:rPr>
        <w:t>Nel preambolo autografo dello stesso Carlo Alberto viene definito come «legge fondamentale perpetua ed irrevocabile della Monarchia </w:t>
      </w:r>
      <w:hyperlink r:id="rId9" w:tooltip="Casa Savoia" w:history="1">
        <w:r w:rsidRPr="00011DE9">
          <w:rPr>
            <w:rStyle w:val="Collegamentoipertestuale"/>
            <w:rFonts w:ascii="Tahoma" w:hAnsi="Tahoma" w:cs="Tahoma"/>
            <w:color w:val="0645AD"/>
            <w:sz w:val="28"/>
            <w:szCs w:val="28"/>
          </w:rPr>
          <w:t>sabauda</w:t>
        </w:r>
      </w:hyperlink>
      <w:r w:rsidRPr="00011DE9">
        <w:rPr>
          <w:rFonts w:ascii="Tahoma" w:hAnsi="Tahoma" w:cs="Tahoma"/>
          <w:color w:val="202122"/>
          <w:sz w:val="28"/>
          <w:szCs w:val="28"/>
        </w:rPr>
        <w:t>». Il 17 marzo </w:t>
      </w:r>
      <w:hyperlink r:id="rId10" w:tooltip="1861" w:history="1">
        <w:r w:rsidRPr="00011DE9">
          <w:rPr>
            <w:rStyle w:val="Collegamentoipertestuale"/>
            <w:rFonts w:ascii="Tahoma" w:hAnsi="Tahoma" w:cs="Tahoma"/>
            <w:color w:val="0645AD"/>
            <w:sz w:val="28"/>
            <w:szCs w:val="28"/>
          </w:rPr>
          <w:t>1861</w:t>
        </w:r>
      </w:hyperlink>
      <w:r w:rsidRPr="00011DE9">
        <w:rPr>
          <w:rFonts w:ascii="Tahoma" w:hAnsi="Tahoma" w:cs="Tahoma"/>
          <w:color w:val="202122"/>
          <w:sz w:val="28"/>
          <w:szCs w:val="28"/>
        </w:rPr>
        <w:t>, con la fondazione del </w:t>
      </w:r>
      <w:hyperlink r:id="rId11" w:tooltip="Regno d'Italia (1861-1946)" w:history="1">
        <w:r w:rsidRPr="00011DE9">
          <w:rPr>
            <w:rStyle w:val="Collegamentoipertestuale"/>
            <w:rFonts w:ascii="Tahoma" w:hAnsi="Tahoma" w:cs="Tahoma"/>
            <w:color w:val="0645AD"/>
            <w:sz w:val="28"/>
            <w:szCs w:val="28"/>
          </w:rPr>
          <w:t>Regno d'Italia</w:t>
        </w:r>
      </w:hyperlink>
      <w:r w:rsidRPr="00011DE9">
        <w:rPr>
          <w:rFonts w:ascii="Tahoma" w:hAnsi="Tahoma" w:cs="Tahoma"/>
          <w:color w:val="202122"/>
          <w:sz w:val="28"/>
          <w:szCs w:val="28"/>
        </w:rPr>
        <w:t>, divenne la carta fondamentale della nuova </w:t>
      </w:r>
      <w:hyperlink r:id="rId12" w:tooltip="Italia" w:history="1">
        <w:r w:rsidRPr="00011DE9">
          <w:rPr>
            <w:rStyle w:val="Collegamentoipertestuale"/>
            <w:rFonts w:ascii="Tahoma" w:hAnsi="Tahoma" w:cs="Tahoma"/>
            <w:color w:val="0645AD"/>
            <w:sz w:val="28"/>
            <w:szCs w:val="28"/>
          </w:rPr>
          <w:t>Italia</w:t>
        </w:r>
      </w:hyperlink>
      <w:r w:rsidRPr="00011DE9">
        <w:rPr>
          <w:rFonts w:ascii="Tahoma" w:hAnsi="Tahoma" w:cs="Tahoma"/>
          <w:color w:val="202122"/>
          <w:sz w:val="28"/>
          <w:szCs w:val="28"/>
        </w:rPr>
        <w:t> unita e rimase formalmente tale, pur con modifiche, fino all'entrata in vigore della </w:t>
      </w:r>
      <w:hyperlink r:id="rId13" w:tooltip="Costituzione della Repubblica Italiana" w:history="1">
        <w:r w:rsidRPr="00011DE9">
          <w:rPr>
            <w:rStyle w:val="Collegamentoipertestuale"/>
            <w:rFonts w:ascii="Tahoma" w:hAnsi="Tahoma" w:cs="Tahoma"/>
            <w:color w:val="0645AD"/>
            <w:sz w:val="28"/>
            <w:szCs w:val="28"/>
          </w:rPr>
          <w:t>Costituzione repubblicana</w:t>
        </w:r>
      </w:hyperlink>
      <w:r w:rsidRPr="00011DE9">
        <w:rPr>
          <w:rFonts w:ascii="Tahoma" w:hAnsi="Tahoma" w:cs="Tahoma"/>
          <w:color w:val="202122"/>
          <w:sz w:val="28"/>
          <w:szCs w:val="28"/>
        </w:rPr>
        <w:t>, il 1º gennaio </w:t>
      </w:r>
      <w:hyperlink r:id="rId14" w:tooltip="1948" w:history="1">
        <w:r w:rsidRPr="00011DE9">
          <w:rPr>
            <w:rStyle w:val="Collegamentoipertestuale"/>
            <w:rFonts w:ascii="Tahoma" w:hAnsi="Tahoma" w:cs="Tahoma"/>
            <w:color w:val="0645AD"/>
            <w:sz w:val="28"/>
            <w:szCs w:val="28"/>
          </w:rPr>
          <w:t>1948</w:t>
        </w:r>
      </w:hyperlink>
      <w:r w:rsidRPr="00011DE9">
        <w:rPr>
          <w:rFonts w:ascii="Tahoma" w:hAnsi="Tahoma" w:cs="Tahoma"/>
          <w:color w:val="202122"/>
          <w:sz w:val="28"/>
          <w:szCs w:val="28"/>
        </w:rPr>
        <w:t>.</w:t>
      </w:r>
    </w:p>
    <w:p w14:paraId="74028B8A" w14:textId="77777777" w:rsidR="006C5916" w:rsidRPr="00011DE9" w:rsidRDefault="006C5916" w:rsidP="00C83DD7">
      <w:pPr>
        <w:pStyle w:val="NormaleWeb"/>
        <w:shd w:val="clear" w:color="auto" w:fill="FFFFFF"/>
        <w:spacing w:before="120" w:beforeAutospacing="0" w:after="120" w:afterAutospacing="0"/>
        <w:jc w:val="both"/>
        <w:rPr>
          <w:rFonts w:ascii="Tahoma" w:hAnsi="Tahoma" w:cs="Tahoma"/>
          <w:color w:val="202122"/>
          <w:sz w:val="28"/>
          <w:szCs w:val="28"/>
        </w:rPr>
      </w:pPr>
      <w:r w:rsidRPr="00011DE9">
        <w:rPr>
          <w:rFonts w:ascii="Tahoma" w:hAnsi="Tahoma" w:cs="Tahoma"/>
          <w:color w:val="202122"/>
          <w:sz w:val="28"/>
          <w:szCs w:val="28"/>
        </w:rPr>
        <w:t>Lo Statuto Albertino, in quanto </w:t>
      </w:r>
      <w:hyperlink r:id="rId15" w:tooltip="Rigidità della costituzione" w:history="1">
        <w:r w:rsidRPr="00011DE9">
          <w:rPr>
            <w:rStyle w:val="Collegamentoipertestuale"/>
            <w:rFonts w:ascii="Tahoma" w:hAnsi="Tahoma" w:cs="Tahoma"/>
            <w:color w:val="0645AD"/>
            <w:sz w:val="28"/>
            <w:szCs w:val="28"/>
          </w:rPr>
          <w:t>costituzione flessibile</w:t>
        </w:r>
      </w:hyperlink>
      <w:r w:rsidRPr="00011DE9">
        <w:rPr>
          <w:rFonts w:ascii="Tahoma" w:hAnsi="Tahoma" w:cs="Tahoma"/>
          <w:color w:val="202122"/>
          <w:sz w:val="28"/>
          <w:szCs w:val="28"/>
        </w:rPr>
        <w:t>, poteva essere modificato o integrato con legge adottata secondo la procedura ordinaria. Le </w:t>
      </w:r>
      <w:hyperlink r:id="rId16" w:tooltip="Legge costituzionale" w:history="1">
        <w:r w:rsidRPr="00011DE9">
          <w:rPr>
            <w:rStyle w:val="Collegamentoipertestuale"/>
            <w:rFonts w:ascii="Tahoma" w:hAnsi="Tahoma" w:cs="Tahoma"/>
            <w:color w:val="0645AD"/>
            <w:sz w:val="28"/>
            <w:szCs w:val="28"/>
          </w:rPr>
          <w:t>leggi costituzionali</w:t>
        </w:r>
      </w:hyperlink>
      <w:r w:rsidRPr="00011DE9">
        <w:rPr>
          <w:rFonts w:ascii="Tahoma" w:hAnsi="Tahoma" w:cs="Tahoma"/>
          <w:color w:val="202122"/>
          <w:sz w:val="28"/>
          <w:szCs w:val="28"/>
        </w:rPr>
        <w:t>, infatti, sono presenti nell'ordinamento italiano solo a partire dalla </w:t>
      </w:r>
      <w:hyperlink r:id="rId17" w:tooltip="Costituzione della Repubblica Italiana" w:history="1">
        <w:r w:rsidRPr="00011DE9">
          <w:rPr>
            <w:rStyle w:val="Collegamentoipertestuale"/>
            <w:rFonts w:ascii="Tahoma" w:hAnsi="Tahoma" w:cs="Tahoma"/>
            <w:color w:val="0645AD"/>
            <w:sz w:val="28"/>
            <w:szCs w:val="28"/>
          </w:rPr>
          <w:t>Costituzione</w:t>
        </w:r>
      </w:hyperlink>
      <w:r w:rsidRPr="00011DE9">
        <w:rPr>
          <w:rFonts w:ascii="Tahoma" w:hAnsi="Tahoma" w:cs="Tahoma"/>
          <w:color w:val="202122"/>
          <w:sz w:val="28"/>
          <w:szCs w:val="28"/>
        </w:rPr>
        <w:t> del </w:t>
      </w:r>
      <w:hyperlink r:id="rId18" w:tooltip="1948" w:history="1">
        <w:r w:rsidRPr="00011DE9">
          <w:rPr>
            <w:rStyle w:val="Collegamentoipertestuale"/>
            <w:rFonts w:ascii="Tahoma" w:hAnsi="Tahoma" w:cs="Tahoma"/>
            <w:color w:val="0645AD"/>
            <w:sz w:val="28"/>
            <w:szCs w:val="28"/>
          </w:rPr>
          <w:t>1948</w:t>
        </w:r>
      </w:hyperlink>
      <w:r w:rsidRPr="00011DE9">
        <w:rPr>
          <w:rFonts w:ascii="Tahoma" w:hAnsi="Tahoma" w:cs="Tahoma"/>
          <w:color w:val="202122"/>
          <w:sz w:val="28"/>
          <w:szCs w:val="28"/>
        </w:rPr>
        <w:t>, che è rigida</w:t>
      </w:r>
    </w:p>
    <w:p w14:paraId="3CC2CE0D" w14:textId="54DC699E" w:rsidR="006C5916" w:rsidRPr="00011DE9" w:rsidRDefault="006C5916" w:rsidP="00C83DD7">
      <w:pPr>
        <w:pStyle w:val="NormaleWeb"/>
        <w:shd w:val="clear" w:color="auto" w:fill="FFFFFF"/>
        <w:spacing w:before="120" w:beforeAutospacing="0" w:after="120" w:afterAutospacing="0"/>
        <w:jc w:val="both"/>
        <w:rPr>
          <w:rFonts w:ascii="Tahoma" w:hAnsi="Tahoma" w:cs="Tahoma"/>
          <w:color w:val="202122"/>
          <w:sz w:val="28"/>
          <w:szCs w:val="28"/>
        </w:rPr>
      </w:pPr>
      <w:r w:rsidRPr="00011DE9">
        <w:rPr>
          <w:rFonts w:ascii="Tahoma" w:hAnsi="Tahoma" w:cs="Tahoma"/>
          <w:color w:val="202122"/>
          <w:sz w:val="28"/>
          <w:szCs w:val="28"/>
        </w:rPr>
        <w:t xml:space="preserve">Come le altre Carte costituzionali emanate negli Stati italiani nel 1848, lo Statuto albertino aveva il carattere di carta </w:t>
      </w:r>
      <w:proofErr w:type="spellStart"/>
      <w:r w:rsidRPr="00011DE9">
        <w:rPr>
          <w:rFonts w:ascii="Tahoma" w:hAnsi="Tahoma" w:cs="Tahoma"/>
          <w:color w:val="202122"/>
          <w:sz w:val="28"/>
          <w:szCs w:val="28"/>
        </w:rPr>
        <w:t>octroyée</w:t>
      </w:r>
      <w:proofErr w:type="spellEnd"/>
      <w:r w:rsidRPr="00011DE9">
        <w:rPr>
          <w:rFonts w:ascii="Tahoma" w:hAnsi="Tahoma" w:cs="Tahoma"/>
          <w:color w:val="202122"/>
          <w:sz w:val="28"/>
          <w:szCs w:val="28"/>
        </w:rPr>
        <w:t>, cioè concessa dal sovrano. La scelta costituzionale si impose come l'unico rimedio politico per evitare l'evolversi della situazione in senso democratico e rivoluzionario. Definito, nel Preambolo autografo dello stesso Carlo Alberto, «Legge fondamentale perpetua ed irrevocabile della Monarchia», lo Statuto si ispira alla Carta francese del 1814 nelle sue versioni modificate in Francia nel 1830 e in Belgio nel 1831. Il sovrano, infatti, concedendo lo Statuto, aveva voluto dar vita ad una sorta di monarchia limitata, nella quale la Corona non fosse solo un elemento formale, ma, investita della titolarità dell'esecutivo, partecipasse in modo determinante al potere legislativo e a quello giudiziario, andando ben oltre i limiti di un "potere neutro". In tale contesto istituzionale tutti gli altri poteri e tutti gli altri organi erano collocati in una posizione subalterna o, quanto meno, inferiore a quella del sovrano.</w:t>
      </w:r>
    </w:p>
    <w:p w14:paraId="18679F6B" w14:textId="77777777" w:rsidR="006C5916" w:rsidRPr="00011DE9" w:rsidRDefault="006C5916" w:rsidP="00C83DD7">
      <w:pPr>
        <w:pStyle w:val="NormaleWeb"/>
        <w:shd w:val="clear" w:color="auto" w:fill="FFFFFF"/>
        <w:spacing w:before="120" w:beforeAutospacing="0" w:after="120" w:afterAutospacing="0"/>
        <w:jc w:val="both"/>
        <w:rPr>
          <w:rFonts w:ascii="Tahoma" w:hAnsi="Tahoma" w:cs="Tahoma"/>
          <w:color w:val="202122"/>
          <w:sz w:val="28"/>
          <w:szCs w:val="28"/>
        </w:rPr>
      </w:pPr>
      <w:r w:rsidRPr="00011DE9">
        <w:rPr>
          <w:rFonts w:ascii="Tahoma" w:hAnsi="Tahoma" w:cs="Tahoma"/>
          <w:color w:val="202122"/>
          <w:sz w:val="28"/>
          <w:szCs w:val="28"/>
        </w:rPr>
        <w:t>Al Parlamento, diviso in due rami, il Senato vitalizio di nomina regia e la Camera dei deputati elettiva, spettava di esercitare con il Re il potere legislativo (art. 3), di approvare i bilanci e i tributi (art. 10), di organizzare le province e i comuni (art. 74), di regolare la leva militare (art. 75).</w:t>
      </w:r>
    </w:p>
    <w:p w14:paraId="5A5B856A" w14:textId="526B9B77" w:rsidR="006C5916" w:rsidRPr="00011DE9" w:rsidRDefault="006C5916" w:rsidP="00C83DD7">
      <w:pPr>
        <w:pStyle w:val="NormaleWeb"/>
        <w:shd w:val="clear" w:color="auto" w:fill="FFFFFF"/>
        <w:spacing w:before="120" w:beforeAutospacing="0" w:after="120" w:afterAutospacing="0"/>
        <w:jc w:val="both"/>
        <w:rPr>
          <w:rFonts w:ascii="Tahoma" w:hAnsi="Tahoma" w:cs="Tahoma"/>
          <w:color w:val="202122"/>
          <w:sz w:val="28"/>
          <w:szCs w:val="28"/>
        </w:rPr>
      </w:pPr>
      <w:r w:rsidRPr="00011DE9">
        <w:rPr>
          <w:rFonts w:ascii="Tahoma" w:hAnsi="Tahoma" w:cs="Tahoma"/>
          <w:color w:val="202122"/>
          <w:sz w:val="28"/>
          <w:szCs w:val="28"/>
        </w:rPr>
        <w:t xml:space="preserve">Le disposizioni sul Governo (artt. 65-67) si limitano a parlare di "ministri" senza dare alcuna disciplina specifica per l'organo collegiale da essi formato. Nella prassi, infatti, venne instaurandosi un rapporto di fiducia tra Governo e Parlamento: il Ministero poteva rimanere in carica solo se confermato dal voto delle assemblee legislative, mentre il sovrano nella scelta dei suoi ministri si adeguava alla volontà delle Camere e, in particolare, di quella elettiva. </w:t>
      </w:r>
    </w:p>
    <w:p w14:paraId="6F2786ED" w14:textId="34D4E2BF" w:rsidR="00C83DD7" w:rsidRPr="00011DE9" w:rsidRDefault="00C83DD7" w:rsidP="00C83DD7">
      <w:pPr>
        <w:tabs>
          <w:tab w:val="left" w:pos="5745"/>
        </w:tabs>
        <w:jc w:val="both"/>
        <w:rPr>
          <w:rFonts w:ascii="Tahoma" w:hAnsi="Tahoma" w:cs="Tahoma"/>
          <w:sz w:val="28"/>
          <w:szCs w:val="28"/>
        </w:rPr>
      </w:pPr>
      <w:r w:rsidRPr="00011DE9">
        <w:rPr>
          <w:rFonts w:ascii="Tahoma" w:hAnsi="Tahoma" w:cs="Tahoma"/>
          <w:sz w:val="28"/>
          <w:szCs w:val="28"/>
        </w:rPr>
        <w:lastRenderedPageBreak/>
        <w:t>Lo Statuto riconosce</w:t>
      </w:r>
      <w:r w:rsidRPr="00011DE9">
        <w:rPr>
          <w:rFonts w:ascii="Tahoma" w:hAnsi="Tahoma" w:cs="Tahoma"/>
          <w:color w:val="202122"/>
          <w:sz w:val="28"/>
          <w:szCs w:val="28"/>
        </w:rPr>
        <w:t xml:space="preserve"> il principio di eguaglianza (art. 24: «tutti i regnicoli, qualunque sia il loro titolo o grado, sono eguali dinanzi alla Legge [...]. Tutti godono egualmente i diritti civili e politici, e sono ammessi alle cariche civili e militari, salve le eccezioni determinate dalle leggi»). Riconosce formalmente la libertà individuale (art. 26), l'inviolabilità del domicilio (art. 27), la libertà di stampa (art. 28), la libertà di riunione (art. 32). La religione, si scrisse, "è quella Cattolica, Apostolica e Romana" (art. 1). Una legge di poco posteriore (Legge </w:t>
      </w:r>
      <w:proofErr w:type="spellStart"/>
      <w:r w:rsidRPr="00011DE9">
        <w:rPr>
          <w:rFonts w:ascii="Tahoma" w:hAnsi="Tahoma" w:cs="Tahoma"/>
          <w:color w:val="202122"/>
          <w:sz w:val="28"/>
          <w:szCs w:val="28"/>
        </w:rPr>
        <w:t>Sineo</w:t>
      </w:r>
      <w:proofErr w:type="spellEnd"/>
      <w:r w:rsidRPr="00011DE9">
        <w:rPr>
          <w:rFonts w:ascii="Tahoma" w:hAnsi="Tahoma" w:cs="Tahoma"/>
          <w:color w:val="202122"/>
          <w:sz w:val="28"/>
          <w:szCs w:val="28"/>
        </w:rPr>
        <w:t xml:space="preserve"> del giugno del 1848) aggiungeva che la differenza di culto non formava eccezione al godimento dei diritti civili e politici e all'ammissibilità alle cariche civili e militari.</w:t>
      </w:r>
    </w:p>
    <w:p w14:paraId="10FB03C0" w14:textId="4DF3C10B" w:rsidR="00C2505A" w:rsidRDefault="00C2505A" w:rsidP="00011DE9">
      <w:pPr>
        <w:shd w:val="clear" w:color="auto" w:fill="FFFFFF"/>
        <w:spacing w:before="120" w:after="120" w:line="240" w:lineRule="auto"/>
        <w:rPr>
          <w:rFonts w:ascii="Tahoma" w:eastAsia="Times New Roman" w:hAnsi="Tahoma" w:cs="Tahoma"/>
          <w:color w:val="202122"/>
          <w:sz w:val="28"/>
          <w:szCs w:val="28"/>
          <w:lang w:eastAsia="it-IT"/>
        </w:rPr>
      </w:pPr>
      <w:r>
        <w:rPr>
          <w:rFonts w:ascii="Tahoma" w:eastAsia="Times New Roman" w:hAnsi="Tahoma" w:cs="Tahoma"/>
          <w:color w:val="202122"/>
          <w:sz w:val="28"/>
          <w:szCs w:val="28"/>
          <w:lang w:eastAsia="it-IT"/>
        </w:rPr>
        <w:t>Il Re e il Governo</w:t>
      </w:r>
    </w:p>
    <w:p w14:paraId="4E40D44D" w14:textId="624BCCC1" w:rsidR="00011DE9" w:rsidRPr="00011DE9" w:rsidRDefault="00011DE9" w:rsidP="00011DE9">
      <w:pPr>
        <w:shd w:val="clear" w:color="auto" w:fill="FFFFFF"/>
        <w:spacing w:before="120" w:after="120" w:line="240" w:lineRule="auto"/>
        <w:rPr>
          <w:rFonts w:ascii="Tahoma" w:eastAsia="Times New Roman" w:hAnsi="Tahoma" w:cs="Tahoma"/>
          <w:color w:val="202122"/>
          <w:sz w:val="28"/>
          <w:szCs w:val="28"/>
          <w:lang w:eastAsia="it-IT"/>
        </w:rPr>
      </w:pPr>
      <w:r w:rsidRPr="00011DE9">
        <w:rPr>
          <w:rFonts w:ascii="Tahoma" w:eastAsia="Times New Roman" w:hAnsi="Tahoma" w:cs="Tahoma"/>
          <w:color w:val="202122"/>
          <w:sz w:val="28"/>
          <w:szCs w:val="28"/>
          <w:lang w:eastAsia="it-IT"/>
        </w:rPr>
        <w:t>Lo Statuto stabiliva anzitutto che il trono fosse ereditario Il re era capo dello Stato, capo del governo e capo di tutte le forze armate, la sua persona era «sacra e inviolabile», questo non significava che non dovesse rispettare le leggi (come previsto dal suo </w:t>
      </w:r>
      <w:hyperlink r:id="rId19" w:tooltip="Giuramento" w:history="1">
        <w:r w:rsidRPr="00011DE9">
          <w:rPr>
            <w:rFonts w:ascii="Tahoma" w:eastAsia="Times New Roman" w:hAnsi="Tahoma" w:cs="Tahoma"/>
            <w:color w:val="0645AD"/>
            <w:sz w:val="28"/>
            <w:szCs w:val="28"/>
            <w:lang w:eastAsia="it-IT"/>
          </w:rPr>
          <w:t>giuramento</w:t>
        </w:r>
      </w:hyperlink>
      <w:r w:rsidRPr="00011DE9">
        <w:rPr>
          <w:rFonts w:ascii="Tahoma" w:eastAsia="Times New Roman" w:hAnsi="Tahoma" w:cs="Tahoma"/>
          <w:color w:val="202122"/>
          <w:sz w:val="28"/>
          <w:szCs w:val="28"/>
          <w:lang w:eastAsia="it-IT"/>
        </w:rPr>
        <w:t> all'art. 22), ma solo che non poteva essere oggetto di sanzione alcuna. La sovranità non apparteneva alla </w:t>
      </w:r>
      <w:hyperlink r:id="rId20" w:tooltip="Nazione" w:history="1">
        <w:r w:rsidRPr="00011DE9">
          <w:rPr>
            <w:rFonts w:ascii="Tahoma" w:eastAsia="Times New Roman" w:hAnsi="Tahoma" w:cs="Tahoma"/>
            <w:color w:val="0645AD"/>
            <w:sz w:val="28"/>
            <w:szCs w:val="28"/>
            <w:lang w:eastAsia="it-IT"/>
          </w:rPr>
          <w:t>nazione</w:t>
        </w:r>
      </w:hyperlink>
      <w:r w:rsidRPr="00011DE9">
        <w:rPr>
          <w:rFonts w:ascii="Tahoma" w:eastAsia="Times New Roman" w:hAnsi="Tahoma" w:cs="Tahoma"/>
          <w:color w:val="202122"/>
          <w:sz w:val="28"/>
          <w:szCs w:val="28"/>
          <w:lang w:eastAsia="it-IT"/>
        </w:rPr>
        <w:t> (benché all'art. 41 si faccia espresso riferimento ai </w:t>
      </w:r>
      <w:hyperlink r:id="rId21" w:tooltip="Deputato" w:history="1">
        <w:r w:rsidRPr="00011DE9">
          <w:rPr>
            <w:rFonts w:ascii="Tahoma" w:eastAsia="Times New Roman" w:hAnsi="Tahoma" w:cs="Tahoma"/>
            <w:color w:val="0645AD"/>
            <w:sz w:val="28"/>
            <w:szCs w:val="28"/>
            <w:lang w:eastAsia="it-IT"/>
          </w:rPr>
          <w:t>deputati</w:t>
        </w:r>
      </w:hyperlink>
      <w:r w:rsidRPr="00011DE9">
        <w:rPr>
          <w:rFonts w:ascii="Tahoma" w:eastAsia="Times New Roman" w:hAnsi="Tahoma" w:cs="Tahoma"/>
          <w:color w:val="202122"/>
          <w:sz w:val="28"/>
          <w:szCs w:val="28"/>
          <w:lang w:eastAsia="it-IT"/>
        </w:rPr>
        <w:t> come «rappresentanti della Nazione») ma al re</w:t>
      </w:r>
    </w:p>
    <w:p w14:paraId="281D63C4" w14:textId="77777777" w:rsidR="00011DE9" w:rsidRPr="00011DE9" w:rsidRDefault="00011DE9" w:rsidP="00011DE9">
      <w:pPr>
        <w:shd w:val="clear" w:color="auto" w:fill="FFFFFF"/>
        <w:spacing w:before="120" w:after="120" w:line="240" w:lineRule="auto"/>
        <w:rPr>
          <w:rFonts w:ascii="Tahoma" w:eastAsia="Times New Roman" w:hAnsi="Tahoma" w:cs="Tahoma"/>
          <w:color w:val="202122"/>
          <w:sz w:val="28"/>
          <w:szCs w:val="28"/>
          <w:lang w:eastAsia="it-IT"/>
        </w:rPr>
      </w:pPr>
      <w:r w:rsidRPr="00011DE9">
        <w:rPr>
          <w:rFonts w:ascii="Tahoma" w:eastAsia="Times New Roman" w:hAnsi="Tahoma" w:cs="Tahoma"/>
          <w:color w:val="202122"/>
          <w:sz w:val="28"/>
          <w:szCs w:val="28"/>
          <w:lang w:eastAsia="it-IT"/>
        </w:rPr>
        <w:t>Il re esercitava il </w:t>
      </w:r>
      <w:hyperlink r:id="rId22" w:tooltip="Potere esecutivo" w:history="1">
        <w:r w:rsidRPr="00011DE9">
          <w:rPr>
            <w:rFonts w:ascii="Tahoma" w:eastAsia="Times New Roman" w:hAnsi="Tahoma" w:cs="Tahoma"/>
            <w:color w:val="0645AD"/>
            <w:sz w:val="28"/>
            <w:szCs w:val="28"/>
            <w:lang w:eastAsia="it-IT"/>
          </w:rPr>
          <w:t>potere esecutivo</w:t>
        </w:r>
      </w:hyperlink>
      <w:r w:rsidRPr="00011DE9">
        <w:rPr>
          <w:rFonts w:ascii="Tahoma" w:eastAsia="Times New Roman" w:hAnsi="Tahoma" w:cs="Tahoma"/>
          <w:color w:val="202122"/>
          <w:sz w:val="28"/>
          <w:szCs w:val="28"/>
          <w:lang w:eastAsia="it-IT"/>
        </w:rPr>
        <w:t> attraverso i ministri di sua nomina che all'occorrenza potevano essere da lui destituiti; convocava e scioglieva la Camera dei deputati e aveva il potere di sanzione delle leggi, istituto diverso dalla </w:t>
      </w:r>
      <w:hyperlink r:id="rId23" w:tooltip="Promulgazione" w:history="1">
        <w:r w:rsidRPr="00011DE9">
          <w:rPr>
            <w:rFonts w:ascii="Tahoma" w:eastAsia="Times New Roman" w:hAnsi="Tahoma" w:cs="Tahoma"/>
            <w:color w:val="0645AD"/>
            <w:sz w:val="28"/>
            <w:szCs w:val="28"/>
            <w:lang w:eastAsia="it-IT"/>
          </w:rPr>
          <w:t>promulgazione</w:t>
        </w:r>
      </w:hyperlink>
      <w:r w:rsidRPr="00011DE9">
        <w:rPr>
          <w:rFonts w:ascii="Tahoma" w:eastAsia="Times New Roman" w:hAnsi="Tahoma" w:cs="Tahoma"/>
          <w:color w:val="202122"/>
          <w:sz w:val="28"/>
          <w:szCs w:val="28"/>
          <w:lang w:eastAsia="it-IT"/>
        </w:rPr>
        <w:t> presidenziale, prevista dalla </w:t>
      </w:r>
      <w:hyperlink r:id="rId24" w:tooltip="Costituzione della Repubblica Italiana" w:history="1">
        <w:r w:rsidRPr="00011DE9">
          <w:rPr>
            <w:rFonts w:ascii="Tahoma" w:eastAsia="Times New Roman" w:hAnsi="Tahoma" w:cs="Tahoma"/>
            <w:color w:val="0645AD"/>
            <w:sz w:val="28"/>
            <w:szCs w:val="28"/>
            <w:lang w:eastAsia="it-IT"/>
          </w:rPr>
          <w:t>Costituzione della Repubblica</w:t>
        </w:r>
      </w:hyperlink>
      <w:r w:rsidRPr="00011DE9">
        <w:rPr>
          <w:rFonts w:ascii="Tahoma" w:eastAsia="Times New Roman" w:hAnsi="Tahoma" w:cs="Tahoma"/>
          <w:color w:val="202122"/>
          <w:sz w:val="28"/>
          <w:szCs w:val="28"/>
          <w:lang w:eastAsia="it-IT"/>
        </w:rPr>
        <w:t> del </w:t>
      </w:r>
      <w:hyperlink r:id="rId25" w:tooltip="1948" w:history="1">
        <w:r w:rsidRPr="00011DE9">
          <w:rPr>
            <w:rFonts w:ascii="Tahoma" w:eastAsia="Times New Roman" w:hAnsi="Tahoma" w:cs="Tahoma"/>
            <w:color w:val="0645AD"/>
            <w:sz w:val="28"/>
            <w:szCs w:val="28"/>
            <w:lang w:eastAsia="it-IT"/>
          </w:rPr>
          <w:t>1948</w:t>
        </w:r>
      </w:hyperlink>
      <w:r w:rsidRPr="00011DE9">
        <w:rPr>
          <w:rFonts w:ascii="Tahoma" w:eastAsia="Times New Roman" w:hAnsi="Tahoma" w:cs="Tahoma"/>
          <w:color w:val="202122"/>
          <w:sz w:val="28"/>
          <w:szCs w:val="28"/>
          <w:lang w:eastAsia="it-IT"/>
        </w:rPr>
        <w:t>, perché con essa il re valutava nel merito l'atto e poteva rifiutarlo se riteneva la legge in esame non rispondente all'indirizzo politico perseguito dalla corona. Il re decideva automaticamente circa il </w:t>
      </w:r>
      <w:hyperlink r:id="rId26" w:tooltip="Governo" w:history="1">
        <w:r w:rsidRPr="00011DE9">
          <w:rPr>
            <w:rFonts w:ascii="Tahoma" w:eastAsia="Times New Roman" w:hAnsi="Tahoma" w:cs="Tahoma"/>
            <w:color w:val="0645AD"/>
            <w:sz w:val="28"/>
            <w:szCs w:val="28"/>
            <w:lang w:eastAsia="it-IT"/>
          </w:rPr>
          <w:t>governo</w:t>
        </w:r>
      </w:hyperlink>
      <w:r w:rsidRPr="00011DE9">
        <w:rPr>
          <w:rFonts w:ascii="Tahoma" w:eastAsia="Times New Roman" w:hAnsi="Tahoma" w:cs="Tahoma"/>
          <w:color w:val="202122"/>
          <w:sz w:val="28"/>
          <w:szCs w:val="28"/>
          <w:lang w:eastAsia="it-IT"/>
        </w:rPr>
        <w:t> ed il Parlamento si limitava a fare le leggi (</w:t>
      </w:r>
      <w:r w:rsidRPr="00011DE9">
        <w:rPr>
          <w:rFonts w:ascii="Tahoma" w:eastAsia="Times New Roman" w:hAnsi="Tahoma" w:cs="Tahoma"/>
          <w:i/>
          <w:iCs/>
          <w:color w:val="202122"/>
          <w:sz w:val="28"/>
          <w:szCs w:val="28"/>
          <w:lang w:eastAsia="it-IT"/>
        </w:rPr>
        <w:t>collettivamente</w:t>
      </w:r>
      <w:r w:rsidRPr="00011DE9">
        <w:rPr>
          <w:rFonts w:ascii="Tahoma" w:eastAsia="Times New Roman" w:hAnsi="Tahoma" w:cs="Tahoma"/>
          <w:color w:val="202122"/>
          <w:sz w:val="28"/>
          <w:szCs w:val="28"/>
          <w:lang w:eastAsia="it-IT"/>
        </w:rPr>
        <w:t>, con l'apporto del re e la sua sanzione).</w:t>
      </w:r>
    </w:p>
    <w:p w14:paraId="4BE54917" w14:textId="2F9D2BA1" w:rsidR="00011DE9" w:rsidRPr="00011DE9" w:rsidRDefault="00011DE9" w:rsidP="00011DE9">
      <w:pPr>
        <w:shd w:val="clear" w:color="auto" w:fill="FFFFFF"/>
        <w:spacing w:before="72" w:after="0" w:line="240" w:lineRule="auto"/>
        <w:outlineLvl w:val="3"/>
        <w:rPr>
          <w:rFonts w:ascii="Tahoma" w:eastAsia="Times New Roman" w:hAnsi="Tahoma" w:cs="Tahoma"/>
          <w:b/>
          <w:bCs/>
          <w:color w:val="000000"/>
          <w:sz w:val="28"/>
          <w:szCs w:val="28"/>
          <w:lang w:eastAsia="it-IT"/>
        </w:rPr>
      </w:pPr>
      <w:r w:rsidRPr="00011DE9">
        <w:rPr>
          <w:rFonts w:ascii="Tahoma" w:eastAsia="Times New Roman" w:hAnsi="Tahoma" w:cs="Tahoma"/>
          <w:b/>
          <w:bCs/>
          <w:color w:val="000000"/>
          <w:sz w:val="28"/>
          <w:szCs w:val="28"/>
          <w:lang w:eastAsia="it-IT"/>
        </w:rPr>
        <w:t xml:space="preserve">Il Parlamento </w:t>
      </w:r>
    </w:p>
    <w:p w14:paraId="3631D7B7" w14:textId="7193E22C" w:rsidR="00011DE9" w:rsidRPr="00011DE9" w:rsidRDefault="00011DE9" w:rsidP="00011DE9">
      <w:pPr>
        <w:shd w:val="clear" w:color="auto" w:fill="FFFFFF"/>
        <w:spacing w:before="120" w:after="120" w:line="240" w:lineRule="auto"/>
        <w:rPr>
          <w:rFonts w:ascii="Tahoma" w:eastAsia="Times New Roman" w:hAnsi="Tahoma" w:cs="Tahoma"/>
          <w:color w:val="202122"/>
          <w:sz w:val="28"/>
          <w:szCs w:val="28"/>
          <w:lang w:eastAsia="it-IT"/>
        </w:rPr>
      </w:pPr>
      <w:r w:rsidRPr="00011DE9">
        <w:rPr>
          <w:rFonts w:ascii="Tahoma" w:eastAsia="Times New Roman" w:hAnsi="Tahoma" w:cs="Tahoma"/>
          <w:color w:val="202122"/>
          <w:sz w:val="28"/>
          <w:szCs w:val="28"/>
          <w:lang w:eastAsia="it-IT"/>
        </w:rPr>
        <w:t>Il </w:t>
      </w:r>
      <w:hyperlink r:id="rId27" w:tooltip="Parlamento del Regno di Sardegna" w:history="1">
        <w:r w:rsidRPr="00011DE9">
          <w:rPr>
            <w:rFonts w:ascii="Tahoma" w:eastAsia="Times New Roman" w:hAnsi="Tahoma" w:cs="Tahoma"/>
            <w:color w:val="0645AD"/>
            <w:sz w:val="28"/>
            <w:szCs w:val="28"/>
            <w:lang w:eastAsia="it-IT"/>
          </w:rPr>
          <w:t>parlamento</w:t>
        </w:r>
      </w:hyperlink>
      <w:r w:rsidRPr="00011DE9">
        <w:rPr>
          <w:rFonts w:ascii="Tahoma" w:eastAsia="Times New Roman" w:hAnsi="Tahoma" w:cs="Tahoma"/>
          <w:color w:val="202122"/>
          <w:sz w:val="28"/>
          <w:szCs w:val="28"/>
          <w:lang w:eastAsia="it-IT"/>
        </w:rPr>
        <w:t> era composto da due Camere: il Se</w:t>
      </w:r>
      <w:hyperlink r:id="rId28" w:tooltip="Senato Subalpino" w:history="1">
        <w:r w:rsidRPr="00011DE9">
          <w:rPr>
            <w:rFonts w:ascii="Tahoma" w:eastAsia="Times New Roman" w:hAnsi="Tahoma" w:cs="Tahoma"/>
            <w:color w:val="0645AD"/>
            <w:sz w:val="28"/>
            <w:szCs w:val="28"/>
            <w:lang w:eastAsia="it-IT"/>
          </w:rPr>
          <w:t>nato</w:t>
        </w:r>
      </w:hyperlink>
      <w:r w:rsidRPr="00011DE9">
        <w:rPr>
          <w:rFonts w:ascii="Tahoma" w:eastAsia="Times New Roman" w:hAnsi="Tahoma" w:cs="Tahoma"/>
          <w:color w:val="202122"/>
          <w:sz w:val="28"/>
          <w:szCs w:val="28"/>
          <w:lang w:eastAsia="it-IT"/>
        </w:rPr>
        <w:t> di nomina regia e con senatori provenienti dalla </w:t>
      </w:r>
      <w:hyperlink r:id="rId29" w:tooltip="Famiglia reale italiana" w:history="1">
        <w:r w:rsidRPr="00011DE9">
          <w:rPr>
            <w:rFonts w:ascii="Tahoma" w:eastAsia="Times New Roman" w:hAnsi="Tahoma" w:cs="Tahoma"/>
            <w:color w:val="0645AD"/>
            <w:sz w:val="28"/>
            <w:szCs w:val="28"/>
            <w:lang w:eastAsia="it-IT"/>
          </w:rPr>
          <w:t>famiglia reale</w:t>
        </w:r>
      </w:hyperlink>
      <w:r w:rsidRPr="00011DE9">
        <w:rPr>
          <w:rFonts w:ascii="Tahoma" w:eastAsia="Times New Roman" w:hAnsi="Tahoma" w:cs="Tahoma"/>
          <w:color w:val="202122"/>
          <w:sz w:val="28"/>
          <w:szCs w:val="28"/>
          <w:lang w:eastAsia="it-IT"/>
        </w:rPr>
        <w:t>, vitalizia, che non poteva sciogliersi e la </w:t>
      </w:r>
      <w:hyperlink r:id="rId30" w:tooltip="Camera dei deputati (Regno di Sardegna)" w:history="1">
        <w:r w:rsidRPr="00011DE9">
          <w:rPr>
            <w:rFonts w:ascii="Tahoma" w:eastAsia="Times New Roman" w:hAnsi="Tahoma" w:cs="Tahoma"/>
            <w:color w:val="0645AD"/>
            <w:sz w:val="28"/>
            <w:szCs w:val="28"/>
            <w:lang w:eastAsia="it-IT"/>
          </w:rPr>
          <w:t>Camera dei deputati</w:t>
        </w:r>
      </w:hyperlink>
      <w:r w:rsidRPr="00011DE9">
        <w:rPr>
          <w:rFonts w:ascii="Tahoma" w:eastAsia="Times New Roman" w:hAnsi="Tahoma" w:cs="Tahoma"/>
          <w:color w:val="202122"/>
          <w:sz w:val="28"/>
          <w:szCs w:val="28"/>
          <w:lang w:eastAsia="it-IT"/>
        </w:rPr>
        <w:t>, eletta su base censitaria e maschile, I progetti di legge potevano essere promossi dal </w:t>
      </w:r>
      <w:hyperlink r:id="rId31" w:tooltip="Governo" w:history="1">
        <w:r w:rsidRPr="00011DE9">
          <w:rPr>
            <w:rFonts w:ascii="Tahoma" w:eastAsia="Times New Roman" w:hAnsi="Tahoma" w:cs="Tahoma"/>
            <w:color w:val="0645AD"/>
            <w:sz w:val="28"/>
            <w:szCs w:val="28"/>
            <w:lang w:eastAsia="it-IT"/>
          </w:rPr>
          <w:t>Governo</w:t>
        </w:r>
      </w:hyperlink>
      <w:r w:rsidRPr="00011DE9">
        <w:rPr>
          <w:rFonts w:ascii="Tahoma" w:eastAsia="Times New Roman" w:hAnsi="Tahoma" w:cs="Tahoma"/>
          <w:color w:val="202122"/>
          <w:sz w:val="28"/>
          <w:szCs w:val="28"/>
          <w:lang w:eastAsia="it-IT"/>
        </w:rPr>
        <w:t xml:space="preserve">, dai parlamentari, oltre che dal re. Per diventare legge dovevano essere approvati nello stesso testo da entrambe le Camere, </w:t>
      </w:r>
    </w:p>
    <w:p w14:paraId="312D5196" w14:textId="433862E1" w:rsidR="00011DE9" w:rsidRPr="00011DE9" w:rsidRDefault="00011DE9" w:rsidP="00011DE9">
      <w:pPr>
        <w:shd w:val="clear" w:color="auto" w:fill="FFFFFF"/>
        <w:spacing w:before="72" w:after="0" w:line="240" w:lineRule="auto"/>
        <w:outlineLvl w:val="3"/>
        <w:rPr>
          <w:rFonts w:ascii="Tahoma" w:eastAsia="Times New Roman" w:hAnsi="Tahoma" w:cs="Tahoma"/>
          <w:b/>
          <w:bCs/>
          <w:color w:val="000000"/>
          <w:sz w:val="28"/>
          <w:szCs w:val="28"/>
          <w:lang w:eastAsia="it-IT"/>
        </w:rPr>
      </w:pPr>
      <w:r w:rsidRPr="00011DE9">
        <w:rPr>
          <w:rFonts w:ascii="Tahoma" w:eastAsia="Times New Roman" w:hAnsi="Tahoma" w:cs="Tahoma"/>
          <w:b/>
          <w:bCs/>
          <w:color w:val="000000"/>
          <w:sz w:val="28"/>
          <w:szCs w:val="28"/>
          <w:lang w:eastAsia="it-IT"/>
        </w:rPr>
        <w:t xml:space="preserve">La magistratura del regno </w:t>
      </w:r>
    </w:p>
    <w:p w14:paraId="329FB39F" w14:textId="65362774" w:rsidR="00011DE9" w:rsidRPr="00011DE9" w:rsidRDefault="00011DE9" w:rsidP="00011DE9">
      <w:pPr>
        <w:shd w:val="clear" w:color="auto" w:fill="FFFFFF"/>
        <w:spacing w:before="120" w:after="120" w:line="240" w:lineRule="auto"/>
        <w:rPr>
          <w:rFonts w:ascii="Tahoma" w:eastAsia="Times New Roman" w:hAnsi="Tahoma" w:cs="Tahoma"/>
          <w:color w:val="202122"/>
          <w:sz w:val="28"/>
          <w:szCs w:val="28"/>
          <w:lang w:eastAsia="it-IT"/>
        </w:rPr>
      </w:pPr>
      <w:r w:rsidRPr="00011DE9">
        <w:rPr>
          <w:rFonts w:ascii="Tahoma" w:eastAsia="Times New Roman" w:hAnsi="Tahoma" w:cs="Tahoma"/>
          <w:color w:val="202122"/>
          <w:sz w:val="28"/>
          <w:szCs w:val="28"/>
          <w:lang w:eastAsia="it-IT"/>
        </w:rPr>
        <w:t>Per quanto riguardava la </w:t>
      </w:r>
      <w:hyperlink r:id="rId32" w:tooltip="Giustizia" w:history="1">
        <w:r w:rsidRPr="00011DE9">
          <w:rPr>
            <w:rFonts w:ascii="Tahoma" w:eastAsia="Times New Roman" w:hAnsi="Tahoma" w:cs="Tahoma"/>
            <w:color w:val="0645AD"/>
            <w:sz w:val="28"/>
            <w:szCs w:val="28"/>
            <w:lang w:eastAsia="it-IT"/>
          </w:rPr>
          <w:t>Giustizia</w:t>
        </w:r>
      </w:hyperlink>
      <w:r w:rsidRPr="00011DE9">
        <w:rPr>
          <w:rFonts w:ascii="Tahoma" w:eastAsia="Times New Roman" w:hAnsi="Tahoma" w:cs="Tahoma"/>
          <w:color w:val="202122"/>
          <w:sz w:val="28"/>
          <w:szCs w:val="28"/>
          <w:lang w:eastAsia="it-IT"/>
        </w:rPr>
        <w:t>, essa </w:t>
      </w:r>
      <w:r w:rsidRPr="00011DE9">
        <w:rPr>
          <w:rFonts w:ascii="Tahoma" w:eastAsia="Times New Roman" w:hAnsi="Tahoma" w:cs="Tahoma"/>
          <w:i/>
          <w:iCs/>
          <w:color w:val="202122"/>
          <w:sz w:val="28"/>
          <w:szCs w:val="28"/>
          <w:lang w:eastAsia="it-IT"/>
        </w:rPr>
        <w:t>“emana dal Re”</w:t>
      </w:r>
      <w:r w:rsidRPr="00011DE9">
        <w:rPr>
          <w:rFonts w:ascii="Tahoma" w:eastAsia="Times New Roman" w:hAnsi="Tahoma" w:cs="Tahoma"/>
          <w:color w:val="202122"/>
          <w:sz w:val="28"/>
          <w:szCs w:val="28"/>
          <w:lang w:eastAsia="it-IT"/>
        </w:rPr>
        <w:t xml:space="preserve">, che nominava i giudici ed aveva il potere di concedere la grazia e commutare le pene. </w:t>
      </w:r>
    </w:p>
    <w:p w14:paraId="709B6406" w14:textId="77777777" w:rsidR="006C5916" w:rsidRPr="00011DE9" w:rsidRDefault="006C5916" w:rsidP="00C83DD7">
      <w:pPr>
        <w:tabs>
          <w:tab w:val="left" w:pos="5745"/>
        </w:tabs>
        <w:jc w:val="both"/>
        <w:rPr>
          <w:rFonts w:ascii="Tahoma" w:hAnsi="Tahoma" w:cs="Tahoma"/>
          <w:sz w:val="28"/>
          <w:szCs w:val="28"/>
        </w:rPr>
      </w:pPr>
    </w:p>
    <w:sectPr w:rsidR="006C5916" w:rsidRPr="00011DE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B3F"/>
    <w:rsid w:val="00011DE9"/>
    <w:rsid w:val="001C2039"/>
    <w:rsid w:val="006C5916"/>
    <w:rsid w:val="00B702C2"/>
    <w:rsid w:val="00BD7B3F"/>
    <w:rsid w:val="00C2505A"/>
    <w:rsid w:val="00C83DD7"/>
    <w:rsid w:val="00E8118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79E7D"/>
  <w15:chartTrackingRefBased/>
  <w15:docId w15:val="{9EBFD97C-581C-430A-8D6D-6DB880FED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6C5916"/>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Collegamentoipertestuale">
    <w:name w:val="Hyperlink"/>
    <w:basedOn w:val="Carpredefinitoparagrafo"/>
    <w:uiPriority w:val="99"/>
    <w:semiHidden/>
    <w:unhideWhenUsed/>
    <w:rsid w:val="006C591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015076">
      <w:bodyDiv w:val="1"/>
      <w:marLeft w:val="0"/>
      <w:marRight w:val="0"/>
      <w:marTop w:val="0"/>
      <w:marBottom w:val="0"/>
      <w:divBdr>
        <w:top w:val="none" w:sz="0" w:space="0" w:color="auto"/>
        <w:left w:val="none" w:sz="0" w:space="0" w:color="auto"/>
        <w:bottom w:val="none" w:sz="0" w:space="0" w:color="auto"/>
        <w:right w:val="none" w:sz="0" w:space="0" w:color="auto"/>
      </w:divBdr>
    </w:div>
    <w:div w:id="848831814">
      <w:bodyDiv w:val="1"/>
      <w:marLeft w:val="0"/>
      <w:marRight w:val="0"/>
      <w:marTop w:val="0"/>
      <w:marBottom w:val="0"/>
      <w:divBdr>
        <w:top w:val="none" w:sz="0" w:space="0" w:color="auto"/>
        <w:left w:val="none" w:sz="0" w:space="0" w:color="auto"/>
        <w:bottom w:val="none" w:sz="0" w:space="0" w:color="auto"/>
        <w:right w:val="none" w:sz="0" w:space="0" w:color="auto"/>
      </w:divBdr>
    </w:div>
    <w:div w:id="1318345544">
      <w:bodyDiv w:val="1"/>
      <w:marLeft w:val="0"/>
      <w:marRight w:val="0"/>
      <w:marTop w:val="0"/>
      <w:marBottom w:val="0"/>
      <w:divBdr>
        <w:top w:val="none" w:sz="0" w:space="0" w:color="auto"/>
        <w:left w:val="none" w:sz="0" w:space="0" w:color="auto"/>
        <w:bottom w:val="none" w:sz="0" w:space="0" w:color="auto"/>
        <w:right w:val="none" w:sz="0" w:space="0" w:color="auto"/>
      </w:divBdr>
    </w:div>
    <w:div w:id="2131315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t.wikipedia.org/wiki/Costituzione_della_Repubblica_Italiana" TargetMode="External"/><Relationship Id="rId18" Type="http://schemas.openxmlformats.org/officeDocument/2006/relationships/hyperlink" Target="https://it.wikipedia.org/wiki/1948" TargetMode="External"/><Relationship Id="rId26" Type="http://schemas.openxmlformats.org/officeDocument/2006/relationships/hyperlink" Target="https://it.wikipedia.org/wiki/Governo" TargetMode="External"/><Relationship Id="rId3" Type="http://schemas.openxmlformats.org/officeDocument/2006/relationships/webSettings" Target="webSettings.xml"/><Relationship Id="rId21" Type="http://schemas.openxmlformats.org/officeDocument/2006/relationships/hyperlink" Target="https://it.wikipedia.org/wiki/Deputato" TargetMode="External"/><Relationship Id="rId34" Type="http://schemas.openxmlformats.org/officeDocument/2006/relationships/theme" Target="theme/theme1.xml"/><Relationship Id="rId7" Type="http://schemas.openxmlformats.org/officeDocument/2006/relationships/hyperlink" Target="https://it.wikipedia.org/wiki/1848" TargetMode="External"/><Relationship Id="rId12" Type="http://schemas.openxmlformats.org/officeDocument/2006/relationships/hyperlink" Target="https://it.wikipedia.org/wiki/Italia" TargetMode="External"/><Relationship Id="rId17" Type="http://schemas.openxmlformats.org/officeDocument/2006/relationships/hyperlink" Target="https://it.wikipedia.org/wiki/Costituzione_della_Repubblica_Italiana" TargetMode="External"/><Relationship Id="rId25" Type="http://schemas.openxmlformats.org/officeDocument/2006/relationships/hyperlink" Target="https://it.wikipedia.org/wiki/1948" TargetMode="Externa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it.wikipedia.org/wiki/Legge_costituzionale" TargetMode="External"/><Relationship Id="rId20" Type="http://schemas.openxmlformats.org/officeDocument/2006/relationships/hyperlink" Target="https://it.wikipedia.org/wiki/Nazione" TargetMode="External"/><Relationship Id="rId29" Type="http://schemas.openxmlformats.org/officeDocument/2006/relationships/hyperlink" Target="https://it.wikipedia.org/wiki/Famiglia_reale_italiana" TargetMode="External"/><Relationship Id="rId1" Type="http://schemas.openxmlformats.org/officeDocument/2006/relationships/styles" Target="styles.xml"/><Relationship Id="rId6" Type="http://schemas.openxmlformats.org/officeDocument/2006/relationships/hyperlink" Target="https://it.wikipedia.org/wiki/Regno_di_Sardegna_(1720-1861)" TargetMode="External"/><Relationship Id="rId11" Type="http://schemas.openxmlformats.org/officeDocument/2006/relationships/hyperlink" Target="https://it.wikipedia.org/wiki/Regno_d%27Italia_(1861-1946)" TargetMode="External"/><Relationship Id="rId24" Type="http://schemas.openxmlformats.org/officeDocument/2006/relationships/hyperlink" Target="https://it.wikipedia.org/wiki/Costituzione_della_Repubblica_Italiana" TargetMode="External"/><Relationship Id="rId32" Type="http://schemas.openxmlformats.org/officeDocument/2006/relationships/hyperlink" Target="https://it.wikipedia.org/wiki/Giustizia" TargetMode="External"/><Relationship Id="rId5" Type="http://schemas.openxmlformats.org/officeDocument/2006/relationships/hyperlink" Target="https://it.wikipedia.org/wiki/Statuto_costituzionale" TargetMode="External"/><Relationship Id="rId15" Type="http://schemas.openxmlformats.org/officeDocument/2006/relationships/hyperlink" Target="https://it.wikipedia.org/wiki/Rigidit%C3%A0_della_costituzione" TargetMode="External"/><Relationship Id="rId23" Type="http://schemas.openxmlformats.org/officeDocument/2006/relationships/hyperlink" Target="https://it.wikipedia.org/wiki/Promulgazione" TargetMode="External"/><Relationship Id="rId28" Type="http://schemas.openxmlformats.org/officeDocument/2006/relationships/hyperlink" Target="https://it.wikipedia.org/wiki/Senato_Subalpino" TargetMode="External"/><Relationship Id="rId10" Type="http://schemas.openxmlformats.org/officeDocument/2006/relationships/hyperlink" Target="https://it.wikipedia.org/wiki/1861" TargetMode="External"/><Relationship Id="rId19" Type="http://schemas.openxmlformats.org/officeDocument/2006/relationships/hyperlink" Target="https://it.wikipedia.org/wiki/Giuramento" TargetMode="External"/><Relationship Id="rId31" Type="http://schemas.openxmlformats.org/officeDocument/2006/relationships/hyperlink" Target="https://it.wikipedia.org/wiki/Governo" TargetMode="External"/><Relationship Id="rId4" Type="http://schemas.openxmlformats.org/officeDocument/2006/relationships/hyperlink" Target="https://it.wikipedia.org/wiki/Carlo_Alberto_di_Savoia" TargetMode="External"/><Relationship Id="rId9" Type="http://schemas.openxmlformats.org/officeDocument/2006/relationships/hyperlink" Target="https://it.wikipedia.org/wiki/Casa_Savoia" TargetMode="External"/><Relationship Id="rId14" Type="http://schemas.openxmlformats.org/officeDocument/2006/relationships/hyperlink" Target="https://it.wikipedia.org/wiki/1948" TargetMode="External"/><Relationship Id="rId22" Type="http://schemas.openxmlformats.org/officeDocument/2006/relationships/hyperlink" Target="https://it.wikipedia.org/wiki/Potere_esecutivo" TargetMode="External"/><Relationship Id="rId27" Type="http://schemas.openxmlformats.org/officeDocument/2006/relationships/hyperlink" Target="https://it.wikipedia.org/wiki/Parlamento_del_Regno_di_Sardegna" TargetMode="External"/><Relationship Id="rId30" Type="http://schemas.openxmlformats.org/officeDocument/2006/relationships/hyperlink" Target="https://it.wikipedia.org/wiki/Camera_dei_deputati_(Regno_di_Sardegna)" TargetMode="External"/><Relationship Id="rId8" Type="http://schemas.openxmlformats.org/officeDocument/2006/relationships/hyperlink" Target="https://it.wikipedia.org/wiki/Torino"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1160</Words>
  <Characters>6617</Characters>
  <Application>Microsoft Office Word</Application>
  <DocSecurity>0</DocSecurity>
  <Lines>55</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pietro verde</dc:creator>
  <cp:keywords/>
  <dc:description/>
  <cp:lastModifiedBy>pietro verde</cp:lastModifiedBy>
  <cp:revision>21</cp:revision>
  <dcterms:created xsi:type="dcterms:W3CDTF">2022-11-13T18:04:00Z</dcterms:created>
  <dcterms:modified xsi:type="dcterms:W3CDTF">2022-11-20T14:48:00Z</dcterms:modified>
</cp:coreProperties>
</file>