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2"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60"/>
            </w:pPr>
            <w:r>
              <w:t>Ctrl+S</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60"/>
            </w:pPr>
            <w:r>
              <w:t>Domain 1 - Aiversecity Future-Ready Workforce</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60"/>
            </w:pPr>
            <w:r>
              <w:t>4 (primary), 8 and 9 (supporting)</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60"/>
            </w:pPr>
            <w:r>
              <w:t>Aiversecity</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60"/>
            </w:pPr>
            <w:r>
              <w:t>Pending leader confirmation</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60"/>
            </w:pPr>
            <w:r>
              <w:t>Pending leader confirmation</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60"/>
            </w:pPr>
            <w:r>
              <w:t>Xiamen University Malaysia - confirm all affiliations</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pPr>
              <w:spacing w:after="60"/>
            </w:pPr>
            <w:r>
              <w:t>5 - confirm registered roster</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pPr>
              <w:spacing w:after="60"/>
            </w:pPr>
            <w:r>
              <w:rPr>
                <w:sz w:val="20"/>
              </w:rPr>
              <w:t>Fresh graduates in Malaysia who are considering data, software or operations work face a practical decision: which role should they explore, and what should they practise first? Public information often separates occupation descriptions, AI headlines and learning resources. A learner must judge whether the evidence applies to their location, distinguish job transformation from job loss, and turn that information into a realistic next step.</w:t>
              <w:br/>
              <w:t>The ILO's 2025 global study estimates that one in four workers holds an occupation with some generative-AI exposure [1]. Exposure describes task potential, not a Malaysian displacement rate or an individual's hiring prospects. It supports the need for careful career exploration without justifying an employment prediction.</w:t>
              <w:br/>
              <w:t>Our initial user is a university student or recent graduate comparing three supported role families. The prototype uses fictional profiles. We have not conducted user interviews or measured the prevalence of this problem in Malaysia. The immediate design hypothesis is that showing evidence, skill gaps and an ordered practice plan together will help a learner explain their next learning decision. That hypothesis needs evaluation with target users. Costs of confusion include time spent on unsuitable learning and misplaced confidence in broad AI claims, but we have not quantified those costs.</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pageBreakBefore/>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pPr>
              <w:spacing w:after="60"/>
            </w:pPr>
            <w:r>
              <w:rPr>
                <w:sz w:val="20"/>
              </w:rPr>
              <w:t>Aiversecity is a browser-based career exploration prototype. A fictional learner selects skills they have tried and answers four workplace questions. A transparent, deterministic rubric compares three response dimensions with Data Analyst, Software Developer and Operations Research Analyst profiles. It shows alignment scores, their components, self-reported evidence and missing skills. Scores describe exploration alignment rather than hiring probability.</w:t>
              <w:br/>
              <w:t>A separate evidence layer retrieves a dated U.S. BLS employment projection. Fresh positive Data Scientists growth puts the related Data Analyst exploration first, negative growth puts it later, and zero, missing or stale evidence removes the adjustment. Personal scores keep their meaning. Each interpretation must expose its source, date, geography, related-occupation proxy and uncertainty. Refreshing evidence can therefore change a recommendation explanation or priority. Stale or insufficient evidence must remain visible. Official UN and MOSTI headlines provide context and do not serve as a demand index.</w:t>
              <w:br/>
              <w:t>The learner can inspect a Foundation, Specialization and Capstone pathway, edit their skill profile and follow linked public learning material. Prerequisites remain in force. Every role and skill includes a proposed SDG contribution. Two qualitative AI-adoption assumptions change rubric emphasis or learning order, with explicit limits.</w:t>
              <w:br/>
              <w:t>The running application uses rules, not a trained model or runtime LLM. Codex provides substantial development assistance and is disclosed separately. Replit is the required intended runtime. Database and GenAI workshop completion, actual platform use and sponsor requirements need confirmation. We will add a model only if it provides a justified, tested function. The current scope supports human decisions with public evidence and synthetic data.</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pPr>
              <w:spacing w:after="60"/>
            </w:pPr>
            <w:r>
              <w:rPr>
                <w:sz w:val="20"/>
              </w:rPr>
              <w:t>Client: React 19.3.1 and TypeScript 5.9.3. Server: Vite 8.3.5 middleware, Node.js 22 target and fixed public-source fetches. XML parsing: fast-xml-parser 5.11.2. State: browser memory, no database or authentication. Testing: Node test runner and Playwright 1.64.1. Architecture diagram and source register follow in the appendix.</w:t>
              <w:br/>
              <w:t>Sponsor-provided resources: no verified use recorded. Replit configuration is prepared, actual use/proof is pending. No runtime GenAI API or RunPod workload. The official portal requires API Premium sponsor integration, but sponsor identity and documentation need clarification. This is a compliance blocker.</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pPr>
              <w:spacing w:after="60"/>
            </w:pPr>
            <w:r>
              <w:rPr>
                <w:sz w:val="20"/>
              </w:rPr>
              <w:t>We translated the Domain 1 journey into six connected capabilities and designed a mobile-first flow around one learning decision. The initial persona and usability assumptions come from the brief, not field research. The team still needs to validate them with target users.</w:t>
              <w:br/>
              <w:t>Implementation separates the assessment rubric from external trend interpretation so reviewers can inspect each rule. Source timestamps, missing evidence and uncertainty belong in the interface. Synthetic practice tasks avoid real CVs and personal records.</w:t>
              <w:br/>
              <w:t>Before Phase 2, we propose a moderated usability evaluation using fictional profiles, a timed comparison against browsing the same source material, and a comprehension check covering score meaning, evidence geography and the first pathway step. We will record denominators and failures. Target metrics in Section 4 remain goals.</w:t>
              <w:br/>
              <w:t>Deployment preparation includes locked dependencies, documented startup commands, HTTP checks and browser journeys across screen sizes. The required Replit import, real account/project proof and independent judge-access check remain release gates. A dated fallback supports demonstrations during source outages. Final public release also requires a content and rights review, leader declarations and confirmation of unresolved official instructions.</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pPr>
              <w:spacing w:after="60"/>
            </w:pPr>
            <w:r>
              <w:rPr>
                <w:sz w:val="20"/>
              </w:rPr>
              <w:t>Primary: Target 4.4, employment-relevant technical and vocational skills. Supporting: 8.2, conditional productivity through technology, and 9.5, technology/research capability. Each contribution is proposed, not measured [2-4].</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pPr>
              <w:spacing w:after="60"/>
            </w:pPr>
            <w:r>
              <w:rPr>
                <w:sz w:val="20"/>
              </w:rPr>
              <w:t>Published context baseline: ILO 2025 reports one in four workers globally in occupations with some GenAI exposure [1]. This is neither a Malaysian rate nor a displacement estimate. Local task-time and comprehension baselines have not been measured.</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pPr>
              <w:spacing w:after="60"/>
            </w:pPr>
            <w:r>
              <w:rPr>
                <w:sz w:val="20"/>
              </w:rPr>
              <w:t>Median minutes to choose and explain a role and first practice step. Comprehension pass rate: correctly identify score meaning, source geography and first prerequisite. Record paired baseline/prototype results and sample size.</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pPr>
              <w:spacing w:after="60"/>
            </w:pPr>
            <w:r>
              <w:rPr>
                <w:sz w:val="20"/>
              </w:rPr>
              <w:t>Proposed Phase 2 goals: 20% reduction in median task time relative to the same-source browsing baseline, and at least 80% comprehension pass rate in a planned small usability pilot. Both are targets, not results. Report absolute times, paired denominators and failures. No employment or SDG-indicator improvement claimed.</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pPr>
              <w:spacing w:after="60"/>
            </w:pPr>
            <w: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r>
              <w:t xml:space="preserve"> [Pending team confirmation]</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pPr>
              <w:spacing w:after="60"/>
            </w:pPr>
            <w: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r>
              <w:t xml:space="preserve"> [Pending team confirmation]</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pPr>
              <w:spacing w:after="60"/>
            </w:pPr>
            <w: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r>
              <w:t xml:space="preserve"> [Pending team confirmation]</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pPr>
              <w:spacing w:after="60"/>
            </w:pPr>
            <w: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r>
              <w:t xml:space="preserve"> [Pending team confirmation]</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Neither selected - all members must confirm pre-existing work and approvals.</w:t>
      </w:r>
      <w:r>
        <w:rPr>
          <w:rFonts w:ascii="Times New Roman" w:eastAsia="Times New Roman" w:hAnsi="Times New Roman" w:cs="Times New Roman"/>
          <w:sz w:val="24"/>
          <w:szCs w:val="24"/>
        </w:rPr>
      </w:r>
      <w:r>
        <w:rPr>
          <w:rFonts w:ascii="Times New Roman" w:eastAsia="Times New Roman" w:hAnsi="Times New Roman" w:cs="Times New Roman"/>
          <w:sz w:val="30"/>
          <w:szCs w:val="30"/>
        </w:rPr>
      </w:r>
      <w:r>
        <w:rPr>
          <w:rFonts w:ascii="Times New Roman" w:eastAsia="Times New Roman" w:hAnsi="Times New Roman" w:cs="Times New Roman"/>
          <w:sz w:val="24"/>
          <w:szCs w:val="24"/>
        </w:rPr>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r>
        <w:t>Pending member declarations, including ownership and creation dates of Figma/design assets.</w:t>
      </w: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Yes - third-party libraries and public sources are used.</w:t>
      </w:r>
      <w:r>
        <w:rPr>
          <w:rFonts w:ascii="Times New Roman" w:eastAsia="Times New Roman" w:hAnsi="Times New Roman" w:cs="Times New Roman"/>
          <w:sz w:val="24"/>
          <w:szCs w:val="24"/>
        </w:rPr>
      </w:r>
      <w:r>
        <w:rPr>
          <w:rFonts w:ascii="Times New Roman" w:eastAsia="Times New Roman" w:hAnsi="Times New Roman" w:cs="Times New Roman"/>
          <w:sz w:val="30"/>
          <w:szCs w:val="30"/>
        </w:rPr>
      </w:r>
      <w:r>
        <w:rPr>
          <w:rFonts w:ascii="Times New Roman" w:eastAsia="Times New Roman" w:hAnsi="Times New Roman" w:cs="Times New Roman"/>
          <w:sz w:val="24"/>
          <w:szCs w:val="24"/>
        </w:rPr>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tc>
          <w:tcPr>
            <w:tcW w:type="dxa" w:w="2940"/>
          </w:tcPr>
          <w:p>
            <w:pPr>
              <w:spacing w:after="60"/>
            </w:pPr>
            <w:r>
              <w:rPr>
                <w:sz w:val="18"/>
              </w:rPr>
              <w:t>React / React DOM; Vite; Tailwind; fast-xml-parser</w:t>
            </w:r>
          </w:p>
        </w:tc>
        <w:tc>
          <w:tcPr>
            <w:tcW w:type="dxa" w:w="3300"/>
          </w:tcPr>
          <w:p>
            <w:pPr>
              <w:spacing w:after="60"/>
            </w:pPr>
            <w:r>
              <w:rPr>
                <w:sz w:val="18"/>
              </w:rPr>
              <w:t>Code</w:t>
            </w:r>
          </w:p>
        </w:tc>
        <w:tc>
          <w:tcPr>
            <w:tcW w:type="dxa" w:w="3120"/>
          </w:tcPr>
          <w:p>
            <w:pPr>
              <w:spacing w:after="60"/>
            </w:pPr>
            <w:r>
              <w:rPr>
                <w:sz w:val="18"/>
              </w:rPr>
              <w:t>MIT</w:t>
            </w:r>
          </w:p>
        </w:tc>
      </w:tr>
      <w:tr>
        <w:tc>
          <w:tcPr>
            <w:tcW w:type="dxa" w:w="2940"/>
          </w:tcPr>
          <w:p>
            <w:pPr>
              <w:spacing w:after="60"/>
            </w:pPr>
            <w:r>
              <w:rPr>
                <w:sz w:val="18"/>
              </w:rPr>
              <w:t>TypeScript; Playwright; Node.js</w:t>
            </w:r>
          </w:p>
        </w:tc>
        <w:tc>
          <w:tcPr>
            <w:tcW w:type="dxa" w:w="3300"/>
          </w:tcPr>
          <w:p>
            <w:pPr>
              <w:spacing w:after="60"/>
            </w:pPr>
            <w:r>
              <w:rPr>
                <w:sz w:val="18"/>
              </w:rPr>
              <w:t>Code / runtime</w:t>
            </w:r>
          </w:p>
        </w:tc>
        <w:tc>
          <w:tcPr>
            <w:tcW w:type="dxa" w:w="3120"/>
          </w:tcPr>
          <w:p>
            <w:pPr>
              <w:spacing w:after="60"/>
            </w:pPr>
            <w:r>
              <w:rPr>
                <w:sz w:val="18"/>
              </w:rPr>
              <w:t>Apache-2.0; Apache-2.0; MIT and bundled notices</w:t>
            </w:r>
          </w:p>
        </w:tc>
      </w:tr>
      <w:tr>
        <w:tc>
          <w:tcPr>
            <w:tcW w:type="dxa" w:w="2940"/>
          </w:tcPr>
          <w:p>
            <w:pPr>
              <w:spacing w:after="60"/>
            </w:pPr>
            <w:r>
              <w:rPr>
                <w:sz w:val="18"/>
              </w:rPr>
              <w:t>BLS / O*NET / ILO / UN / MOSTI</w:t>
            </w:r>
          </w:p>
        </w:tc>
        <w:tc>
          <w:tcPr>
            <w:tcW w:type="dxa" w:w="3300"/>
          </w:tcPr>
          <w:p>
            <w:pPr>
              <w:spacing w:after="60"/>
            </w:pPr>
            <w:r>
              <w:rPr>
                <w:sz w:val="18"/>
              </w:rPr>
              <w:t>Public source material</w:t>
            </w:r>
          </w:p>
        </w:tc>
        <w:tc>
          <w:tcPr>
            <w:tcW w:type="dxa" w:w="3120"/>
          </w:tcPr>
          <w:p>
            <w:pPr>
              <w:spacing w:after="60"/>
            </w:pPr>
            <w:r>
              <w:rPr>
                <w:sz w:val="18"/>
              </w:rPr>
              <w:t>Attribution and provider terms, see source register</w:t>
            </w:r>
          </w:p>
        </w:tc>
      </w:tr>
      <w:tr>
        <w:tc>
          <w:tcPr>
            <w:tcW w:type="dxa" w:w="2940"/>
          </w:tcPr>
          <w:p>
            <w:pPr>
              <w:spacing w:after="60"/>
            </w:pPr>
            <w:r>
              <w:rPr>
                <w:sz w:val="18"/>
              </w:rPr>
              <w:t>Figma-derived UI and fonts</w:t>
            </w:r>
          </w:p>
        </w:tc>
        <w:tc>
          <w:tcPr>
            <w:tcW w:type="dxa" w:w="3300"/>
          </w:tcPr>
          <w:p>
            <w:pPr>
              <w:spacing w:after="60"/>
            </w:pPr>
            <w:r>
              <w:rPr>
                <w:sz w:val="18"/>
              </w:rPr>
              <w:t>Design / assets</w:t>
            </w:r>
          </w:p>
        </w:tc>
        <w:tc>
          <w:tcPr>
            <w:tcW w:type="dxa" w:w="3120"/>
          </w:tcPr>
          <w:p>
            <w:pPr>
              <w:spacing w:after="60"/>
            </w:pPr>
            <w:r>
              <w:rPr>
                <w:sz w:val="18"/>
              </w:rPr>
              <w:t>Ownership confirmation pending; font notices required</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pageBreakBefore/>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Neither selected - each member must confirm employment-related IP obligations.</w:t>
      </w:r>
      <w:r>
        <w:rPr>
          <w:rFonts w:ascii="Times New Roman" w:eastAsia="Times New Roman" w:hAnsi="Times New Roman" w:cs="Times New Roman"/>
          <w:sz w:val="24"/>
          <w:szCs w:val="24"/>
        </w:rPr>
      </w:r>
      <w:r>
        <w:rPr>
          <w:rFonts w:ascii="Times New Roman" w:eastAsia="Times New Roman" w:hAnsi="Times New Roman" w:cs="Times New Roman"/>
          <w:sz w:val="30"/>
          <w:szCs w:val="30"/>
        </w:rPr>
      </w:r>
      <w:r>
        <w:rPr>
          <w:rFonts w:ascii="Times New Roman" w:eastAsia="Times New Roman" w:hAnsi="Times New Roman" w:cs="Times New Roman"/>
          <w:sz w:val="24"/>
          <w:szCs w:val="24"/>
        </w:rPr>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t>Pending member confirmation.</w:t>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pending leader review and signature</w:t>
      </w:r>
    </w:p>
    <w:p w14:paraId="3E87836C"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pending signature</w:t>
      </w:r>
    </w:p>
    <w:p>
      <w:r>
        <w:br w:type="page"/>
      </w:r>
    </w:p>
    <w:p>
      <w:pPr>
        <w:pStyle w:val="Heading1"/>
      </w:pPr>
      <w:r>
        <w:t>Appendix A Architecture and references</w:t>
      </w:r>
    </w:p>
    <w:p>
      <w:r>
        <w:t>Architecture: synthetic profile -&gt; browser rubric -&gt; alignment scores and skill gaps. Fixed public-source fetch -&gt; validated dated evidence -&gt; separate trend interpretation -&gt; exploration or learning priority. Chosen role + skills + scenario -&gt; prerequisite-ordered pathway -&gt; SDG explanation. Sources never receive profile answers. No runtime model, database or GPU.</w:t>
      </w:r>
    </w:p>
    <w:p>
      <w:r>
        <w:t>[1] ILO, Working Paper 140, 20 May 2025. https://www.ilo.org/publications/generative-ai-and-jobs-refined-global-index-occupational-exposure</w:t>
      </w:r>
    </w:p>
    <w:p>
      <w:r>
        <w:t>[2] UN Target 4.4. https://sdgs.un.org/goals/goal4</w:t>
      </w:r>
    </w:p>
    <w:p>
      <w:r>
        <w:t>[3] UN Target 8.2. https://sdgs.un.org/goals/goal8</w:t>
      </w:r>
    </w:p>
    <w:p>
      <w:r>
        <w:t>[4] UN Target 9.5. https://sdgs.un.org/goals/goal9</w:t>
      </w:r>
    </w:p>
    <w:p>
      <w:r>
        <w:t>BLS Data Scientists, U.S. long-range employment projection, related-role proxy. https://www.bls.gov/ooh/math/data-scientists.htm</w:t>
      </w:r>
    </w:p>
    <w:p>
      <w:r>
        <w:t>Review status: prepared 23 October 2026 MYT. Pending leader facts, signatures, team review, final release links and platform proof. This review copy must not be submitted with unresolved declarations. See submission status checklist and source register.</w:t>
      </w:r>
    </w:p>
    <w:p>
      <w:pPr>
        <w:pStyle w:val="Heading1"/>
      </w:pPr>
      <w:r>
        <w:t>Appendix B System block diagram</w:t>
      </w:r>
    </w:p>
    <w:tbl>
      <w:tblPr>
        <w:tblW w:type="auto" w:w="0"/>
        <w:tblLook w:firstColumn="1" w:firstRow="1" w:lastColumn="0" w:lastRow="0" w:noHBand="0" w:noVBand="1" w:val="04A0"/>
      </w:tblPr>
      <w:tblGrid>
        <w:gridCol w:w="3120"/>
        <w:gridCol w:w="3120"/>
        <w:gridCol w:w="3120"/>
      </w:tblGrid>
      <w:tr>
        <w:tc>
          <w:tcPr>
            <w:tcW w:type="dxa" w:w="3120"/>
          </w:tcPr>
          <w:p>
            <w:pPr>
              <w:spacing w:after="60"/>
            </w:pPr>
            <w:r>
              <w:rPr>
                <w:sz w:val="20"/>
              </w:rPr>
              <w:t>Synthetic profile and questions</w:t>
            </w:r>
          </w:p>
        </w:tc>
        <w:tc>
          <w:tcPr>
            <w:tcW w:type="dxa" w:w="3120"/>
          </w:tcPr>
          <w:p>
            <w:pPr>
              <w:spacing w:after="60"/>
            </w:pPr>
            <w:r>
              <w:rPr>
                <w:sz w:val="20"/>
              </w:rPr>
              <w:t>Deterministic assessment rubric</w:t>
            </w:r>
          </w:p>
        </w:tc>
        <w:tc>
          <w:tcPr>
            <w:tcW w:type="dxa" w:w="3120"/>
          </w:tcPr>
          <w:p>
            <w:pPr>
              <w:spacing w:after="60"/>
            </w:pPr>
            <w:r>
              <w:rPr>
                <w:sz w:val="20"/>
              </w:rPr>
              <w:t>Alignment scores and skill gaps</w:t>
            </w:r>
          </w:p>
        </w:tc>
      </w:tr>
      <w:tr>
        <w:tc>
          <w:tcPr>
            <w:tcW w:type="dxa" w:w="3120"/>
          </w:tcPr>
          <w:p>
            <w:pPr>
              <w:spacing w:after="60"/>
            </w:pPr>
            <w:r>
              <w:rPr>
                <w:sz w:val="20"/>
              </w:rPr>
              <w:t>Fixed public BLS and RSS fetch</w:t>
            </w:r>
          </w:p>
        </w:tc>
        <w:tc>
          <w:tcPr>
            <w:tcW w:type="dxa" w:w="3120"/>
          </w:tcPr>
          <w:p>
            <w:pPr>
              <w:spacing w:after="60"/>
            </w:pPr>
            <w:r>
              <w:rPr>
                <w:sz w:val="20"/>
              </w:rPr>
              <w:t>Dated evidence and eligibility rules</w:t>
            </w:r>
          </w:p>
        </w:tc>
        <w:tc>
          <w:tcPr>
            <w:tcW w:type="dxa" w:w="3120"/>
          </w:tcPr>
          <w:p>
            <w:pPr>
              <w:spacing w:after="60"/>
            </w:pPr>
            <w:r>
              <w:rPr>
                <w:sz w:val="20"/>
              </w:rPr>
              <w:t>Exploration and practice priority</w:t>
            </w:r>
          </w:p>
        </w:tc>
      </w:tr>
      <w:tr>
        <w:tc>
          <w:tcPr>
            <w:tcW w:type="dxa" w:w="3120"/>
          </w:tcPr>
          <w:p>
            <w:pPr>
              <w:spacing w:after="60"/>
            </w:pPr>
            <w:r>
              <w:rPr>
                <w:sz w:val="20"/>
              </w:rPr>
              <w:t>Role plus skills plus scenario</w:t>
            </w:r>
          </w:p>
        </w:tc>
        <w:tc>
          <w:tcPr>
            <w:tcW w:type="dxa" w:w="3120"/>
          </w:tcPr>
          <w:p>
            <w:pPr>
              <w:spacing w:after="60"/>
            </w:pPr>
            <w:r>
              <w:rPr>
                <w:sz w:val="20"/>
              </w:rPr>
              <w:t>Prerequisites and public resources</w:t>
            </w:r>
          </w:p>
        </w:tc>
        <w:tc>
          <w:tcPr>
            <w:tcW w:type="dxa" w:w="3120"/>
          </w:tcPr>
          <w:p>
            <w:pPr>
              <w:spacing w:after="60"/>
            </w:pPr>
            <w:r>
              <w:rPr>
                <w:sz w:val="20"/>
              </w:rPr>
              <w:t>Ordered pathway and SDG explanations</w:t>
            </w:r>
          </w:p>
        </w:tc>
      </w:tr>
    </w:tbl>
    <w:p>
      <w:r>
        <w:t>Each row reads left to right. The pathway combines the personal inputs with the separate eligible trend interpretation. Only the Data Analyst proxy has directional evidence. Other directions and measured skill demand remain unknown.</w:t>
      </w:r>
    </w:p>
    <w:sectPr w:rsidR="00CB46A4">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9190" w14:textId="77777777" w:rsidR="00267928" w:rsidRDefault="00267928">
      <w:pPr>
        <w:spacing w:line="240" w:lineRule="auto"/>
      </w:pPr>
      <w:r>
        <w:separator/>
      </w:r>
    </w:p>
  </w:endnote>
  <w:endnote w:type="continuationSeparator" w:id="0">
    <w:p w14:paraId="342777B1" w14:textId="77777777" w:rsidR="00267928" w:rsidRDefault="002679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94B2A68-147E-4B95-A4A5-900F686259E4}"/>
    <w:embedBold r:id="rId2" w:fontKey="{C6829B0E-F674-4444-93B0-13F943B7807A}"/>
    <w:embedItalic r:id="rId3" w:fontKey="{82A89A31-2EE7-4D51-A66D-3C5FA27F563C}"/>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1F1A0B3-0E3E-4AEA-8EBA-366F7CF5DF08}"/>
  </w:font>
  <w:font w:name="Cambria">
    <w:panose1 w:val="02040503050406030204"/>
    <w:charset w:val="00"/>
    <w:family w:val="roman"/>
    <w:pitch w:val="variable"/>
    <w:sig w:usb0="E00006FF" w:usb1="420024FF" w:usb2="02000000" w:usb3="00000000" w:csb0="0000019F" w:csb1="00000000"/>
    <w:embedRegular r:id="rId5" w:fontKey="{54BE2359-9BB2-4E63-9EF6-07B96A5265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4611" w14:textId="77777777" w:rsidR="00267928" w:rsidRDefault="00267928">
      <w:pPr>
        <w:spacing w:line="240" w:lineRule="auto"/>
      </w:pPr>
      <w:r>
        <w:separator/>
      </w:r>
    </w:p>
  </w:footnote>
  <w:footnote w:type="continuationSeparator" w:id="0">
    <w:p w14:paraId="5F6D8F4F" w14:textId="77777777" w:rsidR="00267928" w:rsidRDefault="002679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607568"/>
    <w:rsid w:val="006B6CF7"/>
    <w:rsid w:val="008E0AEE"/>
    <w:rsid w:val="008F1177"/>
    <w:rsid w:val="00CB46A4"/>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8</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4</cp:revision>
  <dcterms:created xsi:type="dcterms:W3CDTF">2026-10-21T13:45:00Z</dcterms:created>
  <dcterms:modified xsi:type="dcterms:W3CDTF">2026-10-21T14:49:00Z</dcterms:modified>
</cp:coreProperties>
</file>