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A23B" w14:textId="713CE6B0" w:rsidR="003C11FF" w:rsidRDefault="00693F6B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公募浮动管理费业务流程</w:t>
      </w:r>
    </w:p>
    <w:p w14:paraId="40DC161E" w14:textId="77777777" w:rsidR="00693F6B" w:rsidRDefault="00693F6B">
      <w:pPr>
        <w:rPr>
          <w:rFonts w:ascii="-webkit-standard" w:hAnsi="-webkit-standard"/>
          <w:color w:val="000000"/>
          <w:sz w:val="27"/>
          <w:szCs w:val="27"/>
        </w:rPr>
      </w:pPr>
    </w:p>
    <w:p w14:paraId="58AAEA26" w14:textId="20E8424B" w:rsidR="00693F6B" w:rsidRDefault="00693F6B" w:rsidP="00693F6B">
      <w:pPr>
        <w:pStyle w:val="a3"/>
        <w:numPr>
          <w:ilvl w:val="0"/>
          <w:numId w:val="1"/>
        </w:numPr>
        <w:ind w:firstLineChars="0"/>
        <w:outlineLvl w:val="0"/>
        <w:rPr>
          <w:rFonts w:ascii="-webkit-standard" w:hAnsi="-webkit-standard"/>
          <w:color w:val="000000"/>
          <w:sz w:val="27"/>
          <w:szCs w:val="27"/>
        </w:rPr>
      </w:pPr>
      <w:r w:rsidRPr="00693F6B">
        <w:rPr>
          <w:rFonts w:ascii="-webkit-standard" w:hAnsi="-webkit-standard" w:hint="eastAsia"/>
          <w:color w:val="000000"/>
          <w:sz w:val="27"/>
          <w:szCs w:val="27"/>
        </w:rPr>
        <w:t>业务概述</w:t>
      </w:r>
    </w:p>
    <w:p w14:paraId="605F570F" w14:textId="65BBF744" w:rsidR="00693F6B" w:rsidRDefault="00693F6B" w:rsidP="00693F6B">
      <w:pPr>
        <w:pStyle w:val="a3"/>
        <w:numPr>
          <w:ilvl w:val="0"/>
          <w:numId w:val="2"/>
        </w:numPr>
        <w:ind w:firstLineChars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 w:hint="eastAsia"/>
          <w:color w:val="000000"/>
          <w:sz w:val="27"/>
          <w:szCs w:val="27"/>
        </w:rPr>
        <w:t>改造背景</w:t>
      </w:r>
    </w:p>
    <w:p w14:paraId="3C3ADC45" w14:textId="0D8AF804" w:rsidR="00693F6B" w:rsidRDefault="00693F6B" w:rsidP="00693F6B">
      <w:pPr>
        <w:spacing w:line="360" w:lineRule="auto"/>
        <w:ind w:firstLineChars="200" w:firstLine="480"/>
        <w:rPr>
          <w:rFonts w:ascii="宋体" w:eastAsia="宋体" w:hAnsi="宋体"/>
          <w:color w:val="000000"/>
          <w:sz w:val="24"/>
        </w:rPr>
      </w:pPr>
      <w:r w:rsidRPr="00693F6B">
        <w:rPr>
          <w:rFonts w:ascii="宋体" w:eastAsia="宋体" w:hAnsi="宋体"/>
          <w:color w:val="000000"/>
          <w:sz w:val="24"/>
        </w:rPr>
        <w:t>为落实监管关于“浮动管理费率挂钩基金业绩表现”的要求，主动权益类基金需建立</w:t>
      </w:r>
      <w:r w:rsidRPr="00693F6B">
        <w:rPr>
          <w:rFonts w:ascii="宋体" w:eastAsia="宋体" w:hAnsi="宋体"/>
          <w:b/>
          <w:bCs/>
          <w:color w:val="000000"/>
          <w:sz w:val="24"/>
        </w:rPr>
        <w:t>以业绩为导向的管理费计提与归属机制</w:t>
      </w:r>
      <w:r w:rsidRPr="00693F6B">
        <w:rPr>
          <w:rFonts w:ascii="宋体" w:eastAsia="宋体" w:hAnsi="宋体"/>
          <w:color w:val="000000"/>
          <w:sz w:val="24"/>
        </w:rPr>
        <w:t>，提升投资者获得感。</w:t>
      </w:r>
    </w:p>
    <w:p w14:paraId="07DA77B8" w14:textId="3DC495DF" w:rsidR="00693F6B" w:rsidRDefault="00917996" w:rsidP="0091799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</w:rPr>
        <w:t>收费机制构成</w:t>
      </w:r>
    </w:p>
    <w:tbl>
      <w:tblPr>
        <w:tblStyle w:val="1"/>
        <w:tblW w:w="9640" w:type="dxa"/>
        <w:tblInd w:w="-431" w:type="dxa"/>
        <w:tblLook w:val="04A0" w:firstRow="1" w:lastRow="0" w:firstColumn="1" w:lastColumn="0" w:noHBand="0" w:noVBand="1"/>
      </w:tblPr>
      <w:tblGrid>
        <w:gridCol w:w="1619"/>
        <w:gridCol w:w="1075"/>
        <w:gridCol w:w="2685"/>
        <w:gridCol w:w="1710"/>
        <w:gridCol w:w="2551"/>
      </w:tblGrid>
      <w:tr w:rsidR="00917996" w14:paraId="0786B2B1" w14:textId="77777777" w:rsidTr="0091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14:paraId="3B443503" w14:textId="557868FE" w:rsidR="00917996" w:rsidRDefault="00917996" w:rsidP="00917996">
            <w:pPr>
              <w:spacing w:line="360" w:lineRule="auto"/>
              <w:rPr>
                <w:rFonts w:ascii="宋体" w:eastAsia="宋体" w:hAnsi="宋体" w:hint="eastAsia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管理费类型</w:t>
            </w:r>
          </w:p>
        </w:tc>
        <w:tc>
          <w:tcPr>
            <w:tcW w:w="1075" w:type="dxa"/>
          </w:tcPr>
          <w:p w14:paraId="42B286F6" w14:textId="6F120AD5" w:rsidR="00917996" w:rsidRDefault="00917996" w:rsidP="0091799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年费率</w:t>
            </w:r>
          </w:p>
        </w:tc>
        <w:tc>
          <w:tcPr>
            <w:tcW w:w="2685" w:type="dxa"/>
          </w:tcPr>
          <w:p w14:paraId="55F06129" w14:textId="5D550086" w:rsidR="00917996" w:rsidRDefault="00917996" w:rsidP="0091799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计提方式</w:t>
            </w:r>
          </w:p>
        </w:tc>
        <w:tc>
          <w:tcPr>
            <w:tcW w:w="1710" w:type="dxa"/>
          </w:tcPr>
          <w:p w14:paraId="01CC3AEA" w14:textId="6E74699B" w:rsidR="00917996" w:rsidRDefault="00917996" w:rsidP="0091799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是否每日入账</w:t>
            </w:r>
          </w:p>
        </w:tc>
        <w:tc>
          <w:tcPr>
            <w:tcW w:w="2551" w:type="dxa"/>
          </w:tcPr>
          <w:p w14:paraId="12FCCE65" w14:textId="43886413" w:rsidR="00917996" w:rsidRDefault="00917996" w:rsidP="0091799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是否和赎回收益挂钩</w:t>
            </w:r>
          </w:p>
        </w:tc>
      </w:tr>
      <w:tr w:rsidR="00917996" w14:paraId="30E63208" w14:textId="77777777" w:rsidTr="0091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14:paraId="5581EB0B" w14:textId="2BD9E8CE" w:rsidR="00917996" w:rsidRPr="00D1704A" w:rsidRDefault="00917996" w:rsidP="00917996">
            <w:pPr>
              <w:spacing w:line="360" w:lineRule="auto"/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</w:pPr>
            <w:r w:rsidRPr="00D1704A"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固定管理费</w:t>
            </w:r>
          </w:p>
        </w:tc>
        <w:tc>
          <w:tcPr>
            <w:tcW w:w="1075" w:type="dxa"/>
          </w:tcPr>
          <w:p w14:paraId="7422EE6B" w14:textId="1CCFF897" w:rsidR="00917996" w:rsidRDefault="00917996" w:rsidP="009179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0</w:t>
            </w:r>
            <w:r>
              <w:rPr>
                <w:rFonts w:ascii="宋体" w:eastAsia="宋体" w:hAnsi="宋体"/>
                <w:color w:val="000000"/>
                <w:sz w:val="24"/>
              </w:rPr>
              <w:t>.6%</w:t>
            </w:r>
          </w:p>
        </w:tc>
        <w:tc>
          <w:tcPr>
            <w:tcW w:w="2685" w:type="dxa"/>
          </w:tcPr>
          <w:p w14:paraId="7B216E83" w14:textId="52A409EA" w:rsidR="00917996" w:rsidRDefault="00917996" w:rsidP="009179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按基金净值每日计提</w:t>
            </w:r>
          </w:p>
        </w:tc>
        <w:tc>
          <w:tcPr>
            <w:tcW w:w="1710" w:type="dxa"/>
          </w:tcPr>
          <w:p w14:paraId="4C998A28" w14:textId="44465982" w:rsidR="00917996" w:rsidRDefault="00917996" w:rsidP="009179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是</w:t>
            </w:r>
          </w:p>
        </w:tc>
        <w:tc>
          <w:tcPr>
            <w:tcW w:w="2551" w:type="dxa"/>
          </w:tcPr>
          <w:p w14:paraId="3955F008" w14:textId="73F196EC" w:rsidR="00917996" w:rsidRDefault="00917996" w:rsidP="009179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否</w:t>
            </w:r>
          </w:p>
        </w:tc>
      </w:tr>
      <w:tr w:rsidR="00917996" w14:paraId="064DD0D0" w14:textId="77777777" w:rsidTr="00917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14:paraId="0A1A2F8E" w14:textId="48978A26" w:rsidR="00917996" w:rsidRPr="00D1704A" w:rsidRDefault="00917996" w:rsidP="00917996">
            <w:pPr>
              <w:spacing w:line="360" w:lineRule="auto"/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</w:pPr>
            <w:r w:rsidRPr="00D1704A"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或有管理费</w:t>
            </w:r>
          </w:p>
        </w:tc>
        <w:tc>
          <w:tcPr>
            <w:tcW w:w="1075" w:type="dxa"/>
          </w:tcPr>
          <w:p w14:paraId="299F1B7A" w14:textId="06C84733" w:rsidR="00917996" w:rsidRDefault="00917996" w:rsidP="009179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0</w:t>
            </w:r>
            <w:r>
              <w:rPr>
                <w:rFonts w:ascii="宋体" w:eastAsia="宋体" w:hAnsi="宋体"/>
                <w:color w:val="000000"/>
                <w:sz w:val="24"/>
              </w:rPr>
              <w:t>.6%</w:t>
            </w:r>
          </w:p>
        </w:tc>
        <w:tc>
          <w:tcPr>
            <w:tcW w:w="2685" w:type="dxa"/>
          </w:tcPr>
          <w:p w14:paraId="57EDD655" w14:textId="4189B76C" w:rsidR="00917996" w:rsidRDefault="00917996" w:rsidP="009179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按基金净值每日计提</w:t>
            </w:r>
          </w:p>
        </w:tc>
        <w:tc>
          <w:tcPr>
            <w:tcW w:w="1710" w:type="dxa"/>
          </w:tcPr>
          <w:p w14:paraId="5A4471DD" w14:textId="19CA6023" w:rsidR="00917996" w:rsidRDefault="00917996" w:rsidP="009179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是</w:t>
            </w:r>
          </w:p>
        </w:tc>
        <w:tc>
          <w:tcPr>
            <w:tcW w:w="2551" w:type="dxa"/>
          </w:tcPr>
          <w:p w14:paraId="0ED11636" w14:textId="188F18CD" w:rsidR="00917996" w:rsidRDefault="00917996" w:rsidP="009179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是</w:t>
            </w:r>
          </w:p>
        </w:tc>
      </w:tr>
      <w:tr w:rsidR="00917996" w14:paraId="1BA07B80" w14:textId="77777777" w:rsidTr="0091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14:paraId="72508211" w14:textId="795A3903" w:rsidR="00917996" w:rsidRPr="00D1704A" w:rsidRDefault="00917996" w:rsidP="00917996">
            <w:pPr>
              <w:spacing w:line="360" w:lineRule="auto"/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</w:pPr>
            <w:r w:rsidRPr="00D1704A"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  <w:t>浮动管理费</w:t>
            </w:r>
          </w:p>
        </w:tc>
        <w:tc>
          <w:tcPr>
            <w:tcW w:w="1075" w:type="dxa"/>
          </w:tcPr>
          <w:p w14:paraId="159AC375" w14:textId="7CCD750D" w:rsidR="00917996" w:rsidRDefault="00917996" w:rsidP="009179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0</w:t>
            </w:r>
            <w:r>
              <w:rPr>
                <w:rFonts w:ascii="宋体" w:eastAsia="宋体" w:hAnsi="宋体"/>
                <w:color w:val="000000"/>
                <w:sz w:val="24"/>
              </w:rPr>
              <w:t>.3%</w:t>
            </w:r>
          </w:p>
        </w:tc>
        <w:tc>
          <w:tcPr>
            <w:tcW w:w="2685" w:type="dxa"/>
          </w:tcPr>
          <w:p w14:paraId="6D492DF4" w14:textId="5B6ACE7E" w:rsidR="00917996" w:rsidRDefault="00917996" w:rsidP="009179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按基金净值每日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预估（不入账）</w:t>
            </w:r>
          </w:p>
        </w:tc>
        <w:tc>
          <w:tcPr>
            <w:tcW w:w="1710" w:type="dxa"/>
          </w:tcPr>
          <w:p w14:paraId="2B74CA4D" w14:textId="45F3438B" w:rsidR="00917996" w:rsidRDefault="00917996" w:rsidP="009179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否</w:t>
            </w:r>
          </w:p>
        </w:tc>
        <w:tc>
          <w:tcPr>
            <w:tcW w:w="2551" w:type="dxa"/>
          </w:tcPr>
          <w:p w14:paraId="3A81AB96" w14:textId="57E7079C" w:rsidR="00917996" w:rsidRDefault="00917996" w:rsidP="009179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是（特定条件）</w:t>
            </w:r>
          </w:p>
        </w:tc>
      </w:tr>
    </w:tbl>
    <w:p w14:paraId="6A09C034" w14:textId="77777777" w:rsidR="001A333A" w:rsidRPr="001A333A" w:rsidRDefault="001A333A" w:rsidP="00D4091B">
      <w:pPr>
        <w:pStyle w:val="a3"/>
        <w:numPr>
          <w:ilvl w:val="0"/>
          <w:numId w:val="2"/>
        </w:numPr>
        <w:spacing w:line="360" w:lineRule="auto"/>
        <w:ind w:firstLineChars="0"/>
      </w:pPr>
      <w:r w:rsidRPr="001A333A">
        <w:t>适用范围</w:t>
      </w:r>
    </w:p>
    <w:p w14:paraId="131F7B5C" w14:textId="77777777" w:rsidR="001A333A" w:rsidRPr="001A333A" w:rsidRDefault="001A333A" w:rsidP="00D4091B">
      <w:pPr>
        <w:spacing w:line="360" w:lineRule="auto"/>
      </w:pPr>
      <w:r w:rsidRPr="001A333A">
        <w:t>本浮动管理费机制适用于新设立的主动权益类公募基金，尤其是基金合同中采用“业绩比较基准挂钩费率”机制的产品类型。</w:t>
      </w:r>
    </w:p>
    <w:p w14:paraId="39CC448D" w14:textId="77777777" w:rsidR="001A333A" w:rsidRPr="001A333A" w:rsidRDefault="001A333A" w:rsidP="00D4091B">
      <w:pPr>
        <w:spacing w:line="360" w:lineRule="auto"/>
      </w:pPr>
      <w:r w:rsidRPr="001A333A">
        <w:t>不适用产品范围包括：</w:t>
      </w:r>
    </w:p>
    <w:p w14:paraId="6C6E9DAD" w14:textId="77777777" w:rsidR="001A333A" w:rsidRPr="001A333A" w:rsidRDefault="001A333A" w:rsidP="00D4091B">
      <w:pPr>
        <w:pStyle w:val="a3"/>
        <w:numPr>
          <w:ilvl w:val="0"/>
          <w:numId w:val="8"/>
        </w:numPr>
        <w:spacing w:line="360" w:lineRule="auto"/>
        <w:ind w:firstLineChars="0"/>
      </w:pPr>
      <w:r w:rsidRPr="001A333A">
        <w:t>FOF（基金中的基金）</w:t>
      </w:r>
    </w:p>
    <w:p w14:paraId="6AA3E87C" w14:textId="77777777" w:rsidR="001A333A" w:rsidRPr="001A333A" w:rsidRDefault="001A333A" w:rsidP="00D4091B">
      <w:pPr>
        <w:pStyle w:val="a3"/>
        <w:numPr>
          <w:ilvl w:val="0"/>
          <w:numId w:val="8"/>
        </w:numPr>
        <w:spacing w:line="360" w:lineRule="auto"/>
        <w:ind w:firstLineChars="0"/>
      </w:pPr>
      <w:r w:rsidRPr="001A333A">
        <w:t>QDII（合格境外投资产品）</w:t>
      </w:r>
    </w:p>
    <w:p w14:paraId="258AEC93" w14:textId="2780F967" w:rsidR="00917996" w:rsidRPr="00D4091B" w:rsidRDefault="001A333A" w:rsidP="00D4091B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 w:rsidRPr="001A333A">
        <w:t>TN类产品</w:t>
      </w:r>
    </w:p>
    <w:p w14:paraId="78E97E89" w14:textId="262E3A6D" w:rsidR="00693F6B" w:rsidRDefault="00693F6B" w:rsidP="00693F6B">
      <w:pPr>
        <w:pStyle w:val="a3"/>
        <w:numPr>
          <w:ilvl w:val="0"/>
          <w:numId w:val="1"/>
        </w:numPr>
        <w:ind w:firstLineChars="0"/>
        <w:outlineLvl w:val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 w:hint="eastAsia"/>
          <w:color w:val="000000"/>
          <w:sz w:val="27"/>
          <w:szCs w:val="27"/>
        </w:rPr>
        <w:t>业务触发与判定逻辑</w:t>
      </w:r>
    </w:p>
    <w:p w14:paraId="2FF43480" w14:textId="77777777" w:rsidR="00917996" w:rsidRDefault="00917996" w:rsidP="005E0A63">
      <w:pPr>
        <w:pStyle w:val="a3"/>
        <w:numPr>
          <w:ilvl w:val="0"/>
          <w:numId w:val="2"/>
        </w:numPr>
        <w:ind w:firstLineChars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 w:hint="eastAsia"/>
          <w:color w:val="000000"/>
          <w:sz w:val="27"/>
          <w:szCs w:val="27"/>
        </w:rPr>
        <w:t>管理费归属判定点</w:t>
      </w:r>
    </w:p>
    <w:p w14:paraId="62FF7140" w14:textId="77777777" w:rsidR="00917996" w:rsidRDefault="00917996" w:rsidP="005E0A63">
      <w:pPr>
        <w:rPr>
          <w:rFonts w:ascii="宋体" w:eastAsia="宋体" w:hAnsi="宋体"/>
          <w:color w:val="000000"/>
          <w:sz w:val="24"/>
        </w:rPr>
      </w:pPr>
      <w:r w:rsidRPr="00917996">
        <w:rPr>
          <w:rFonts w:ascii="宋体" w:eastAsia="宋体" w:hAnsi="宋体"/>
          <w:color w:val="000000"/>
          <w:sz w:val="24"/>
        </w:rPr>
        <w:t>在以下任一操作发生时，对应持有份额触发</w:t>
      </w:r>
      <w:r w:rsidRPr="00917996">
        <w:rPr>
          <w:rStyle w:val="a7"/>
          <w:rFonts w:ascii="宋体" w:eastAsia="宋体" w:hAnsi="宋体"/>
          <w:color w:val="000000"/>
          <w:sz w:val="24"/>
        </w:rPr>
        <w:t>管理费最终归属判断</w:t>
      </w:r>
      <w:r w:rsidRPr="00917996">
        <w:rPr>
          <w:rFonts w:ascii="宋体" w:eastAsia="宋体" w:hAnsi="宋体"/>
          <w:color w:val="000000"/>
          <w:sz w:val="24"/>
        </w:rPr>
        <w:t>：</w:t>
      </w:r>
    </w:p>
    <w:p w14:paraId="0BB1ACF0" w14:textId="77777777" w:rsidR="0009461A" w:rsidRPr="0009461A" w:rsidRDefault="00917996" w:rsidP="005E0A6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 w:val="24"/>
        </w:rPr>
      </w:pPr>
      <w:r w:rsidRPr="0009461A">
        <w:rPr>
          <w:rFonts w:ascii="宋体" w:eastAsia="宋体" w:hAnsi="宋体"/>
          <w:color w:val="000000"/>
          <w:sz w:val="24"/>
        </w:rPr>
        <w:t>基金赎回</w:t>
      </w:r>
    </w:p>
    <w:p w14:paraId="1B961195" w14:textId="77777777" w:rsidR="0009461A" w:rsidRPr="0009461A" w:rsidRDefault="00917996" w:rsidP="005E0A6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 w:val="24"/>
        </w:rPr>
      </w:pPr>
      <w:r w:rsidRPr="0009461A">
        <w:rPr>
          <w:rFonts w:ascii="宋体" w:eastAsia="宋体" w:hAnsi="宋体"/>
          <w:color w:val="000000"/>
          <w:sz w:val="24"/>
        </w:rPr>
        <w:t>转换转出</w:t>
      </w:r>
    </w:p>
    <w:p w14:paraId="3AE9C558" w14:textId="3BBB4D6D" w:rsidR="00917996" w:rsidRPr="0009461A" w:rsidRDefault="00917996" w:rsidP="005E0A63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color w:val="000000"/>
          <w:sz w:val="24"/>
        </w:rPr>
      </w:pPr>
      <w:r w:rsidRPr="0009461A">
        <w:rPr>
          <w:rFonts w:ascii="宋体" w:eastAsia="宋体" w:hAnsi="宋体"/>
          <w:color w:val="000000"/>
          <w:sz w:val="24"/>
        </w:rPr>
        <w:t>清盘（基金合同终止）</w:t>
      </w:r>
    </w:p>
    <w:p w14:paraId="65802816" w14:textId="29D35BFF" w:rsidR="0009461A" w:rsidRPr="0009461A" w:rsidRDefault="00917996" w:rsidP="005E0A63">
      <w:pPr>
        <w:pStyle w:val="a3"/>
        <w:numPr>
          <w:ilvl w:val="0"/>
          <w:numId w:val="2"/>
        </w:numPr>
        <w:ind w:firstLineChars="0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 w:hint="eastAsia"/>
          <w:color w:val="000000"/>
          <w:sz w:val="27"/>
          <w:szCs w:val="27"/>
        </w:rPr>
        <w:t>判定逻辑图解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461A" w:rsidRPr="0009461A" w14:paraId="19001FA9" w14:textId="77777777" w:rsidTr="00094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FA47797" w14:textId="3AEED168" w:rsidR="0009461A" w:rsidRPr="0009461A" w:rsidRDefault="0009461A" w:rsidP="0009461A">
            <w:pPr>
              <w:outlineLvl w:val="0"/>
              <w:rPr>
                <w:rFonts w:ascii="宋体" w:eastAsia="宋体" w:hAnsi="宋体" w:hint="eastAsia"/>
                <w:color w:val="000000"/>
                <w:sz w:val="24"/>
              </w:rPr>
            </w:pPr>
            <w:r w:rsidRPr="0009461A">
              <w:rPr>
                <w:rFonts w:ascii="宋体" w:eastAsia="宋体" w:hAnsi="宋体" w:hint="eastAsia"/>
                <w:color w:val="000000"/>
                <w:sz w:val="24"/>
              </w:rPr>
              <w:t>情形</w:t>
            </w:r>
          </w:p>
        </w:tc>
        <w:tc>
          <w:tcPr>
            <w:tcW w:w="2765" w:type="dxa"/>
          </w:tcPr>
          <w:p w14:paraId="738CAD73" w14:textId="52552A3C" w:rsidR="0009461A" w:rsidRPr="0009461A" w:rsidRDefault="0009461A" w:rsidP="0009461A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 w:rsidRPr="0009461A">
              <w:rPr>
                <w:rFonts w:ascii="宋体" w:eastAsia="宋体" w:hAnsi="宋体" w:hint="eastAsia"/>
                <w:color w:val="000000"/>
                <w:sz w:val="24"/>
              </w:rPr>
              <w:t>判定条件</w:t>
            </w:r>
          </w:p>
        </w:tc>
        <w:tc>
          <w:tcPr>
            <w:tcW w:w="2766" w:type="dxa"/>
          </w:tcPr>
          <w:p w14:paraId="76E70D8F" w14:textId="3BA255FF" w:rsidR="0009461A" w:rsidRPr="0009461A" w:rsidRDefault="0009461A" w:rsidP="0009461A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 w:rsidRPr="0009461A">
              <w:rPr>
                <w:rFonts w:ascii="宋体" w:eastAsia="宋体" w:hAnsi="宋体" w:hint="eastAsia"/>
                <w:color w:val="000000"/>
                <w:sz w:val="24"/>
              </w:rPr>
              <w:t>管理费处理</w:t>
            </w:r>
          </w:p>
        </w:tc>
      </w:tr>
      <w:tr w:rsidR="0009461A" w:rsidRPr="0009461A" w14:paraId="260D25EB" w14:textId="77777777" w:rsidTr="002C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34CB61D9" w14:textId="021CA259" w:rsidR="0009461A" w:rsidRPr="00D1704A" w:rsidRDefault="0009461A" w:rsidP="0009461A">
            <w:pPr>
              <w:outlineLvl w:val="0"/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</w:pPr>
            <w:r w:rsidRPr="0009461A"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4"/>
              </w:rPr>
              <w:t>短期持有</w:t>
            </w:r>
          </w:p>
        </w:tc>
        <w:tc>
          <w:tcPr>
            <w:tcW w:w="2765" w:type="dxa"/>
            <w:vAlign w:val="center"/>
          </w:tcPr>
          <w:p w14:paraId="7975984C" w14:textId="16C5C760" w:rsidR="0009461A" w:rsidRPr="0009461A" w:rsidRDefault="0009461A" w:rsidP="0009461A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 w:rsidRPr="0009461A">
              <w:rPr>
                <w:rFonts w:ascii="宋体" w:eastAsia="宋体" w:hAnsi="宋体" w:cs="宋体"/>
                <w:color w:val="000000"/>
                <w:kern w:val="0"/>
                <w:sz w:val="24"/>
              </w:rPr>
              <w:t>持有 &lt; 365 天</w:t>
            </w:r>
          </w:p>
        </w:tc>
        <w:tc>
          <w:tcPr>
            <w:tcW w:w="2766" w:type="dxa"/>
            <w:vAlign w:val="center"/>
          </w:tcPr>
          <w:p w14:paraId="2F608CFA" w14:textId="3C7E6699" w:rsidR="0009461A" w:rsidRPr="0009461A" w:rsidRDefault="0009461A" w:rsidP="0009461A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 w:rsidRPr="0009461A">
              <w:rPr>
                <w:rFonts w:ascii="宋体" w:eastAsia="宋体" w:hAnsi="宋体" w:cs="宋体"/>
                <w:color w:val="000000"/>
                <w:kern w:val="0"/>
                <w:sz w:val="24"/>
              </w:rPr>
              <w:t>1.2% 全额归管理人（0.6% 固定 + 0.6% 或</w:t>
            </w:r>
            <w:r w:rsidRPr="0009461A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有）</w:t>
            </w:r>
          </w:p>
        </w:tc>
      </w:tr>
      <w:tr w:rsidR="0009461A" w:rsidRPr="0009461A" w14:paraId="6B220C75" w14:textId="77777777" w:rsidTr="00F47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1746CB4" w14:textId="2AF06DB9" w:rsidR="0009461A" w:rsidRPr="00D1704A" w:rsidRDefault="0009461A" w:rsidP="0009461A">
            <w:pPr>
              <w:outlineLvl w:val="0"/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</w:pPr>
            <w:r w:rsidRPr="0009461A"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4"/>
              </w:rPr>
              <w:lastRenderedPageBreak/>
              <w:t>长期未达基准</w:t>
            </w:r>
          </w:p>
        </w:tc>
        <w:tc>
          <w:tcPr>
            <w:tcW w:w="2765" w:type="dxa"/>
            <w:vAlign w:val="center"/>
          </w:tcPr>
          <w:p w14:paraId="4A7B2868" w14:textId="080DD69C" w:rsidR="0009461A" w:rsidRPr="0009461A" w:rsidRDefault="0009461A" w:rsidP="0009461A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 w:rsidRPr="0009461A">
              <w:rPr>
                <w:rFonts w:ascii="宋体" w:eastAsia="宋体" w:hAnsi="宋体" w:cs="宋体"/>
                <w:color w:val="000000"/>
                <w:kern w:val="0"/>
                <w:sz w:val="24"/>
              </w:rPr>
              <w:t>R ≤ Rb - 3%</w:t>
            </w:r>
          </w:p>
        </w:tc>
        <w:tc>
          <w:tcPr>
            <w:tcW w:w="2766" w:type="dxa"/>
            <w:vAlign w:val="center"/>
          </w:tcPr>
          <w:p w14:paraId="71C9F0A6" w14:textId="15EEC6B0" w:rsidR="0009461A" w:rsidRPr="0009461A" w:rsidRDefault="0009461A" w:rsidP="0009461A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 w:rsidRPr="0009461A">
              <w:rPr>
                <w:rFonts w:ascii="宋体" w:eastAsia="宋体" w:hAnsi="宋体" w:cs="宋体"/>
                <w:color w:val="000000"/>
                <w:kern w:val="0"/>
                <w:sz w:val="24"/>
              </w:rPr>
              <w:t>或有管理费全部返还投资者</w:t>
            </w:r>
          </w:p>
        </w:tc>
      </w:tr>
      <w:tr w:rsidR="0009461A" w:rsidRPr="0009461A" w14:paraId="58AD62FF" w14:textId="77777777" w:rsidTr="0034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444E3F6" w14:textId="458943CA" w:rsidR="0009461A" w:rsidRPr="00D1704A" w:rsidRDefault="0009461A" w:rsidP="0009461A">
            <w:pPr>
              <w:outlineLvl w:val="0"/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</w:pPr>
            <w:r w:rsidRPr="0009461A"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4"/>
              </w:rPr>
              <w:t>长期达标未超基</w:t>
            </w:r>
          </w:p>
        </w:tc>
        <w:tc>
          <w:tcPr>
            <w:tcW w:w="2765" w:type="dxa"/>
            <w:vAlign w:val="center"/>
          </w:tcPr>
          <w:p w14:paraId="31EA06CC" w14:textId="23EFEF51" w:rsidR="0009461A" w:rsidRPr="0009461A" w:rsidRDefault="0009461A" w:rsidP="0009461A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 w:rsidRPr="0009461A">
              <w:rPr>
                <w:rFonts w:ascii="宋体" w:eastAsia="宋体" w:hAnsi="宋体" w:cs="宋体"/>
                <w:color w:val="000000"/>
                <w:kern w:val="0"/>
                <w:sz w:val="24"/>
              </w:rPr>
              <w:t>其他情况</w:t>
            </w:r>
          </w:p>
        </w:tc>
        <w:tc>
          <w:tcPr>
            <w:tcW w:w="2766" w:type="dxa"/>
            <w:vAlign w:val="center"/>
          </w:tcPr>
          <w:p w14:paraId="7A137CF3" w14:textId="46BCC301" w:rsidR="0009461A" w:rsidRPr="0009461A" w:rsidRDefault="0009461A" w:rsidP="0009461A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 w:rsidRPr="0009461A">
              <w:rPr>
                <w:rFonts w:ascii="宋体" w:eastAsia="宋体" w:hAnsi="宋体" w:cs="宋体"/>
                <w:color w:val="000000"/>
                <w:kern w:val="0"/>
                <w:sz w:val="24"/>
              </w:rPr>
              <w:t>或有管理费归管理人</w:t>
            </w:r>
          </w:p>
        </w:tc>
      </w:tr>
      <w:tr w:rsidR="0009461A" w:rsidRPr="0009461A" w14:paraId="2D6F1A62" w14:textId="77777777" w:rsidTr="00FD6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EBBC00F" w14:textId="0871D96A" w:rsidR="0009461A" w:rsidRPr="00D1704A" w:rsidRDefault="0009461A" w:rsidP="0009461A">
            <w:pPr>
              <w:outlineLvl w:val="0"/>
              <w:rPr>
                <w:rFonts w:ascii="宋体" w:eastAsia="宋体" w:hAnsi="宋体" w:hint="eastAsia"/>
                <w:b w:val="0"/>
                <w:bCs w:val="0"/>
                <w:color w:val="000000"/>
                <w:sz w:val="24"/>
              </w:rPr>
            </w:pPr>
            <w:r w:rsidRPr="0009461A"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4"/>
              </w:rPr>
              <w:t>显著超越基准</w:t>
            </w:r>
          </w:p>
        </w:tc>
        <w:tc>
          <w:tcPr>
            <w:tcW w:w="2765" w:type="dxa"/>
            <w:vAlign w:val="center"/>
          </w:tcPr>
          <w:p w14:paraId="53C3B6BF" w14:textId="30E9FBCD" w:rsidR="0009461A" w:rsidRPr="0009461A" w:rsidRDefault="0009461A" w:rsidP="0009461A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 w:rsidRPr="0009461A">
              <w:rPr>
                <w:rFonts w:ascii="宋体" w:eastAsia="宋体" w:hAnsi="宋体" w:cs="宋体"/>
                <w:color w:val="000000"/>
                <w:kern w:val="0"/>
                <w:sz w:val="24"/>
              </w:rPr>
              <w:t>R &gt; Rb + 6%，R*&gt;Rb+6%，且 R、R*&gt;0</w:t>
            </w:r>
          </w:p>
        </w:tc>
        <w:tc>
          <w:tcPr>
            <w:tcW w:w="2766" w:type="dxa"/>
            <w:vAlign w:val="center"/>
          </w:tcPr>
          <w:p w14:paraId="1646992D" w14:textId="1B6DB494" w:rsidR="0009461A" w:rsidRPr="0009461A" w:rsidRDefault="0009461A" w:rsidP="0009461A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/>
                <w:sz w:val="24"/>
              </w:rPr>
            </w:pPr>
            <w:r w:rsidRPr="0009461A">
              <w:rPr>
                <w:rFonts w:ascii="宋体" w:eastAsia="宋体" w:hAnsi="宋体" w:cs="宋体"/>
                <w:color w:val="000000"/>
                <w:kern w:val="0"/>
                <w:sz w:val="24"/>
              </w:rPr>
              <w:t>或有管理费归管理人 + 扣 0.3% 超额管理费</w:t>
            </w:r>
          </w:p>
        </w:tc>
      </w:tr>
    </w:tbl>
    <w:p w14:paraId="40004FF1" w14:textId="77777777" w:rsidR="00D46B5C" w:rsidRPr="00DA5BA2" w:rsidRDefault="00D46B5C" w:rsidP="00804870">
      <w:pPr>
        <w:pStyle w:val="a3"/>
        <w:numPr>
          <w:ilvl w:val="0"/>
          <w:numId w:val="11"/>
        </w:numPr>
        <w:spacing w:line="360" w:lineRule="auto"/>
        <w:ind w:firstLineChars="0"/>
        <w:rPr>
          <w:b/>
          <w:bCs/>
        </w:rPr>
      </w:pPr>
      <w:r w:rsidRPr="00DA5BA2">
        <w:rPr>
          <w:b/>
          <w:bCs/>
        </w:rPr>
        <w:t>Rb（业绩比较基准）的计算方式</w:t>
      </w:r>
    </w:p>
    <w:p w14:paraId="6707B733" w14:textId="77777777" w:rsidR="00D46B5C" w:rsidRPr="00D46B5C" w:rsidRDefault="00D46B5C" w:rsidP="000743A4">
      <w:pPr>
        <w:spacing w:line="360" w:lineRule="auto"/>
      </w:pPr>
      <w:r w:rsidRPr="00D46B5C">
        <w:t>业绩比较基准 Rb 是指：基金合同设定的参考收益率，用于判断基金业绩是否达标。</w:t>
      </w:r>
    </w:p>
    <w:p w14:paraId="2E0C19E3" w14:textId="77777777" w:rsidR="00D46B5C" w:rsidRPr="00D46B5C" w:rsidRDefault="00D46B5C" w:rsidP="000743A4">
      <w:pPr>
        <w:spacing w:line="360" w:lineRule="auto"/>
      </w:pPr>
      <w:r w:rsidRPr="00D46B5C">
        <w:t>TA系统每日跟踪该指数组合的走势，计算投资者持有期间的年化基准收益率 Rb，计算公式如下：</w:t>
      </w:r>
    </w:p>
    <w:p w14:paraId="35031D02" w14:textId="3CC395B4" w:rsidR="0009461A" w:rsidRDefault="009444C1" w:rsidP="00C650D4">
      <w:pPr>
        <w:jc w:val="center"/>
      </w:pPr>
      <w:r w:rsidRPr="009444C1">
        <w:t>Rb = (期末基准点位 - 期初点位) ÷ 期初点位 × (365 ÷ T) × 100%</w:t>
      </w:r>
    </w:p>
    <w:p w14:paraId="1E83959A" w14:textId="77777777" w:rsidR="00C650D4" w:rsidRPr="00C650D4" w:rsidRDefault="00C650D4" w:rsidP="00DA5BA2">
      <w:pPr>
        <w:pStyle w:val="a3"/>
        <w:numPr>
          <w:ilvl w:val="0"/>
          <w:numId w:val="10"/>
        </w:numPr>
        <w:ind w:left="442" w:firstLineChars="0" w:hanging="442"/>
      </w:pPr>
      <w:r w:rsidRPr="00C650D4">
        <w:t>期初/期末点位：来自基金合同中约定的指数组合（日行情数据导入）；</w:t>
      </w:r>
    </w:p>
    <w:p w14:paraId="390F051F" w14:textId="77777777" w:rsidR="00C650D4" w:rsidRPr="00C650D4" w:rsidRDefault="00C650D4" w:rsidP="00DA5BA2">
      <w:pPr>
        <w:pStyle w:val="a3"/>
        <w:numPr>
          <w:ilvl w:val="0"/>
          <w:numId w:val="10"/>
        </w:numPr>
        <w:ind w:left="442" w:firstLineChars="0" w:hanging="442"/>
      </w:pPr>
      <w:r w:rsidRPr="00C650D4">
        <w:t>T：投资者持有天数；</w:t>
      </w:r>
    </w:p>
    <w:p w14:paraId="10443761" w14:textId="77777777" w:rsidR="00C650D4" w:rsidRPr="00C650D4" w:rsidRDefault="00C650D4" w:rsidP="00DA5BA2">
      <w:pPr>
        <w:pStyle w:val="a3"/>
        <w:numPr>
          <w:ilvl w:val="0"/>
          <w:numId w:val="10"/>
        </w:numPr>
        <w:ind w:left="442" w:firstLineChars="0" w:hanging="442"/>
      </w:pPr>
      <w:r w:rsidRPr="00C650D4">
        <w:t>业绩基准示例：上证指数×70% + 恒生指数×10% + 一年期定存利率×20%。</w:t>
      </w:r>
    </w:p>
    <w:p w14:paraId="1C8340CD" w14:textId="1DBABA4E" w:rsidR="00DA5BA2" w:rsidRDefault="00C650D4" w:rsidP="00B03DFC">
      <w:pPr>
        <w:spacing w:line="360" w:lineRule="auto"/>
      </w:pPr>
      <w:r w:rsidRPr="00C650D4">
        <w:t>系统支持每日更新基准点位，自动累计到份额明细，用于赎回时判断是否返还管理费或触发超额管理费。</w:t>
      </w:r>
    </w:p>
    <w:p w14:paraId="0E0097B3" w14:textId="77777777" w:rsidR="00DA5BA2" w:rsidRPr="00C650D4" w:rsidRDefault="00DA5BA2" w:rsidP="00B03DFC">
      <w:pPr>
        <w:spacing w:line="360" w:lineRule="auto"/>
        <w:rPr>
          <w:rFonts w:hint="eastAsia"/>
        </w:rPr>
      </w:pPr>
    </w:p>
    <w:p w14:paraId="243D11F7" w14:textId="37BC702A" w:rsidR="009444C1" w:rsidRPr="00DA5BA2" w:rsidRDefault="00EC6D6A" w:rsidP="00F0548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DA5BA2">
        <w:rPr>
          <w:b/>
          <w:bCs/>
        </w:rPr>
        <w:t>R：持有期间年化收益率</w:t>
      </w:r>
    </w:p>
    <w:p w14:paraId="3E534C60" w14:textId="012F3C2D" w:rsidR="00EC6D6A" w:rsidRPr="00F05486" w:rsidRDefault="00EC6D6A" w:rsidP="00DA5BA2">
      <w:pPr>
        <w:jc w:val="center"/>
      </w:pPr>
      <w:r w:rsidRPr="00F05486">
        <w:t>R = (NAV1 - NAV0) ÷ NAV0 × (365 ÷ T) × 100%</w:t>
      </w:r>
    </w:p>
    <w:p w14:paraId="0BF49942" w14:textId="45A36DC9" w:rsidR="00EC6D6A" w:rsidRPr="00F05486" w:rsidRDefault="00EC6D6A" w:rsidP="00DA5BA2">
      <w:pPr>
        <w:pStyle w:val="a3"/>
        <w:numPr>
          <w:ilvl w:val="0"/>
          <w:numId w:val="13"/>
        </w:numPr>
        <w:ind w:firstLineChars="0"/>
      </w:pPr>
      <w:r w:rsidRPr="00F05486">
        <w:t>NAV0：份额确认日累计净值；</w:t>
      </w:r>
    </w:p>
    <w:p w14:paraId="41A82C74" w14:textId="7C1446C9" w:rsidR="00EC6D6A" w:rsidRPr="00F05486" w:rsidRDefault="00EC6D6A" w:rsidP="00DA5BA2">
      <w:pPr>
        <w:pStyle w:val="a3"/>
        <w:numPr>
          <w:ilvl w:val="0"/>
          <w:numId w:val="13"/>
        </w:numPr>
        <w:ind w:firstLineChars="0"/>
      </w:pPr>
      <w:r w:rsidRPr="00F05486">
        <w:t>NAV1：赎回日或合同终止日累计净值；</w:t>
      </w:r>
    </w:p>
    <w:p w14:paraId="6BBE2FCF" w14:textId="718F8B9B" w:rsidR="00EC6D6A" w:rsidRDefault="00EC6D6A" w:rsidP="00DA5BA2">
      <w:pPr>
        <w:pStyle w:val="a3"/>
        <w:numPr>
          <w:ilvl w:val="0"/>
          <w:numId w:val="13"/>
        </w:numPr>
        <w:ind w:firstLineChars="0"/>
      </w:pPr>
      <w:r w:rsidRPr="00F05486">
        <w:t>T：持有天数。</w:t>
      </w:r>
    </w:p>
    <w:p w14:paraId="1275E945" w14:textId="77777777" w:rsidR="00DA5BA2" w:rsidRPr="00F05486" w:rsidRDefault="00DA5BA2" w:rsidP="00DA5BA2">
      <w:pPr>
        <w:rPr>
          <w:rFonts w:hint="eastAsia"/>
        </w:rPr>
      </w:pPr>
    </w:p>
    <w:p w14:paraId="6B34E30B" w14:textId="77777777" w:rsidR="00F05486" w:rsidRPr="00DA5BA2" w:rsidRDefault="00F05486" w:rsidP="00F0548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DA5BA2">
        <w:rPr>
          <w:b/>
          <w:bCs/>
        </w:rPr>
        <w:t>R*：扣除超额管理费后的修正年化收益率</w:t>
      </w:r>
    </w:p>
    <w:p w14:paraId="4711D6E9" w14:textId="77777777" w:rsidR="00F05486" w:rsidRPr="00F05486" w:rsidRDefault="00F05486" w:rsidP="00DA5BA2">
      <w:pPr>
        <w:jc w:val="center"/>
      </w:pPr>
      <w:r w:rsidRPr="00F05486">
        <w:t>R* = [F × (NAV1 - NAV0) - M] ÷ (F × NAV0*) × (365 ÷ T) × 100%</w:t>
      </w:r>
    </w:p>
    <w:p w14:paraId="126E8423" w14:textId="77777777" w:rsidR="00F05486" w:rsidRPr="00F05486" w:rsidRDefault="00F05486" w:rsidP="00F05486">
      <w:r w:rsidRPr="00F05486">
        <w:t>F：该笔赎回份额；</w:t>
      </w:r>
    </w:p>
    <w:p w14:paraId="34CFDDE0" w14:textId="77777777" w:rsidR="00F05486" w:rsidRPr="00F05486" w:rsidRDefault="00F05486" w:rsidP="00F05486">
      <w:r w:rsidRPr="00F05486">
        <w:t>M：该笔份额累计计提的超额管理费；</w:t>
      </w:r>
    </w:p>
    <w:p w14:paraId="257FA5D4" w14:textId="77777777" w:rsidR="00F05486" w:rsidRPr="00F05486" w:rsidRDefault="00F05486" w:rsidP="00F05486">
      <w:r w:rsidRPr="00F05486">
        <w:t>NAV0*：初始单位净值（非累计）；</w:t>
      </w:r>
    </w:p>
    <w:p w14:paraId="2D098C7C" w14:textId="77777777" w:rsidR="00F05486" w:rsidRPr="00F05486" w:rsidRDefault="00F05486" w:rsidP="00F05486">
      <w:r w:rsidRPr="00F05486">
        <w:t>系统将基于 R 和 R* 双重判断，确定是否触发超额管理费收取。</w:t>
      </w:r>
    </w:p>
    <w:p w14:paraId="628D5A0B" w14:textId="77777777" w:rsidR="00EC6D6A" w:rsidRPr="00F05486" w:rsidRDefault="00EC6D6A" w:rsidP="009444C1">
      <w:pPr>
        <w:rPr>
          <w:rFonts w:hint="eastAsia"/>
        </w:rPr>
      </w:pPr>
    </w:p>
    <w:p w14:paraId="2714E24C" w14:textId="4B96DEB4" w:rsidR="00693F6B" w:rsidRDefault="00693F6B" w:rsidP="00693F6B">
      <w:pPr>
        <w:pStyle w:val="a3"/>
        <w:numPr>
          <w:ilvl w:val="0"/>
          <w:numId w:val="1"/>
        </w:numPr>
        <w:ind w:firstLineChars="0"/>
        <w:outlineLvl w:val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 w:hint="eastAsia"/>
          <w:color w:val="000000"/>
          <w:sz w:val="27"/>
          <w:szCs w:val="27"/>
        </w:rPr>
        <w:t>核心业务流程图</w:t>
      </w:r>
    </w:p>
    <w:p w14:paraId="18118B4A" w14:textId="40F6C996" w:rsidR="005E0A63" w:rsidRPr="005E0A63" w:rsidRDefault="006920F8" w:rsidP="006D4C21">
      <w:pPr>
        <w:rPr>
          <w:rFonts w:ascii="-webkit-standard" w:hAnsi="-webkit-standard" w:hint="eastAsia"/>
          <w:color w:val="000000"/>
          <w:sz w:val="27"/>
          <w:szCs w:val="27"/>
        </w:rPr>
      </w:pPr>
      <w:r w:rsidRPr="006920F8">
        <w:rPr>
          <w:rFonts w:ascii="-webkit-standard" w:hAnsi="-webkit-standard"/>
          <w:color w:val="000000"/>
          <w:sz w:val="27"/>
          <w:szCs w:val="27"/>
        </w:rPr>
        <w:lastRenderedPageBreak/>
        <w:drawing>
          <wp:inline distT="0" distB="0" distL="0" distR="0" wp14:anchorId="56A06458" wp14:editId="78AA1B55">
            <wp:extent cx="5274310" cy="7494270"/>
            <wp:effectExtent l="0" t="0" r="0" b="0"/>
            <wp:docPr id="55563784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37841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112C" w14:textId="7FF73AFC" w:rsidR="00693F6B" w:rsidRDefault="00693F6B" w:rsidP="00693F6B">
      <w:pPr>
        <w:pStyle w:val="a3"/>
        <w:numPr>
          <w:ilvl w:val="0"/>
          <w:numId w:val="1"/>
        </w:numPr>
        <w:ind w:firstLineChars="0"/>
        <w:outlineLvl w:val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 w:hint="eastAsia"/>
          <w:color w:val="000000"/>
          <w:sz w:val="27"/>
          <w:szCs w:val="27"/>
        </w:rPr>
        <w:t>系统职责与改造点</w:t>
      </w:r>
    </w:p>
    <w:p w14:paraId="4AB0C58D" w14:textId="461921D2" w:rsidR="004F3227" w:rsidRPr="004F3227" w:rsidRDefault="009A7252" w:rsidP="004F3227">
      <w:pPr>
        <w:pStyle w:val="a3"/>
        <w:numPr>
          <w:ilvl w:val="0"/>
          <w:numId w:val="2"/>
        </w:numPr>
        <w:ind w:firstLineChars="0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 w:hint="eastAsia"/>
          <w:color w:val="000000"/>
          <w:sz w:val="27"/>
          <w:szCs w:val="27"/>
        </w:rPr>
        <w:t>估值系统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3227" w14:paraId="76726DA8" w14:textId="77777777" w:rsidTr="004F3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5F7F91" w14:textId="44673CF9" w:rsidR="004F3227" w:rsidRDefault="004F3227" w:rsidP="009A7252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任务</w:t>
            </w:r>
          </w:p>
        </w:tc>
        <w:tc>
          <w:tcPr>
            <w:tcW w:w="4148" w:type="dxa"/>
          </w:tcPr>
          <w:p w14:paraId="38AD9679" w14:textId="13829F84" w:rsidR="004F3227" w:rsidRDefault="004F3227" w:rsidP="009A7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说明</w:t>
            </w:r>
          </w:p>
        </w:tc>
      </w:tr>
      <w:tr w:rsidR="004F3227" w14:paraId="726A3BBC" w14:textId="77777777" w:rsidTr="004F3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EE5ADBC" w14:textId="362DA3B3" w:rsidR="004F3227" w:rsidRPr="004F3227" w:rsidRDefault="004F3227" w:rsidP="009A7252">
            <w:pPr>
              <w:rPr>
                <w:rFonts w:ascii="-webkit-standard" w:hAnsi="-webkit-standard" w:hint="eastAsia"/>
                <w:b w:val="0"/>
                <w:bCs w:val="0"/>
                <w:color w:val="000000"/>
                <w:sz w:val="27"/>
                <w:szCs w:val="27"/>
              </w:rPr>
            </w:pPr>
            <w:r w:rsidRPr="004F3227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lastRenderedPageBreak/>
              <w:t>每日计算固定管理费</w:t>
            </w:r>
          </w:p>
        </w:tc>
        <w:tc>
          <w:tcPr>
            <w:tcW w:w="4148" w:type="dxa"/>
          </w:tcPr>
          <w:p w14:paraId="6C46C7C2" w14:textId="3433B6C5" w:rsidR="004F3227" w:rsidRDefault="004F3227" w:rsidP="009A7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 w:rsidRPr="004F3227">
              <w:rPr>
                <w:rFonts w:ascii="-webkit-standard" w:hAnsi="-webkit-standard"/>
                <w:color w:val="000000"/>
                <w:sz w:val="27"/>
                <w:szCs w:val="27"/>
              </w:rPr>
              <w:t>0.6%</w:t>
            </w:r>
            <w:r w:rsidRPr="004F3227">
              <w:rPr>
                <w:rFonts w:ascii="-webkit-standard" w:hAnsi="-webkit-standard"/>
                <w:color w:val="000000"/>
                <w:sz w:val="27"/>
                <w:szCs w:val="27"/>
              </w:rPr>
              <w:t>，每日实际计提</w:t>
            </w:r>
          </w:p>
        </w:tc>
      </w:tr>
      <w:tr w:rsidR="004F3227" w14:paraId="33D3F418" w14:textId="77777777" w:rsidTr="004F3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828877" w14:textId="558712E4" w:rsidR="004F3227" w:rsidRPr="004F3227" w:rsidRDefault="004F3227" w:rsidP="009A7252">
            <w:pPr>
              <w:rPr>
                <w:rFonts w:ascii="-webkit-standard" w:hAnsi="-webkit-standard" w:hint="eastAsia"/>
                <w:b w:val="0"/>
                <w:bCs w:val="0"/>
                <w:color w:val="000000"/>
                <w:sz w:val="27"/>
                <w:szCs w:val="27"/>
              </w:rPr>
            </w:pPr>
            <w:r w:rsidRPr="004F3227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t>每日计算</w:t>
            </w:r>
            <w:r w:rsidRPr="004F3227">
              <w:rPr>
                <w:rFonts w:ascii="-webkit-standard" w:hAnsi="-webkit-standard" w:hint="eastAsia"/>
                <w:b w:val="0"/>
                <w:bCs w:val="0"/>
                <w:color w:val="000000"/>
                <w:sz w:val="27"/>
                <w:szCs w:val="27"/>
              </w:rPr>
              <w:t>或有</w:t>
            </w:r>
            <w:r w:rsidRPr="004F3227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t>管理费</w:t>
            </w:r>
          </w:p>
        </w:tc>
        <w:tc>
          <w:tcPr>
            <w:tcW w:w="4148" w:type="dxa"/>
          </w:tcPr>
          <w:p w14:paraId="5ABA3018" w14:textId="3EF7814D" w:rsidR="004F3227" w:rsidRDefault="004F3227" w:rsidP="009A7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 w:rsidRPr="004F3227">
              <w:rPr>
                <w:rFonts w:ascii="-webkit-standard" w:hAnsi="-webkit-standard"/>
                <w:color w:val="000000"/>
                <w:sz w:val="27"/>
                <w:szCs w:val="27"/>
              </w:rPr>
              <w:t>0.6%</w:t>
            </w:r>
            <w:r w:rsidRPr="004F3227">
              <w:rPr>
                <w:rFonts w:ascii="-webkit-standard" w:hAnsi="-webkit-standard"/>
                <w:color w:val="000000"/>
                <w:sz w:val="27"/>
                <w:szCs w:val="27"/>
              </w:rPr>
              <w:t>，每日实际计提</w:t>
            </w:r>
          </w:p>
        </w:tc>
      </w:tr>
      <w:tr w:rsidR="004F3227" w14:paraId="55EEAFD7" w14:textId="77777777" w:rsidTr="004F3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47FB5B" w14:textId="46156064" w:rsidR="004F3227" w:rsidRPr="004F3227" w:rsidRDefault="004F3227" w:rsidP="009A7252">
            <w:pPr>
              <w:rPr>
                <w:rFonts w:ascii="-webkit-standard" w:hAnsi="-webkit-standard" w:hint="eastAsia"/>
                <w:b w:val="0"/>
                <w:bCs w:val="0"/>
                <w:color w:val="000000"/>
                <w:sz w:val="27"/>
                <w:szCs w:val="27"/>
              </w:rPr>
            </w:pPr>
            <w:r w:rsidRPr="004F3227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t>不计算超额管理费</w:t>
            </w:r>
          </w:p>
        </w:tc>
        <w:tc>
          <w:tcPr>
            <w:tcW w:w="4148" w:type="dxa"/>
          </w:tcPr>
          <w:p w14:paraId="1582CC92" w14:textId="0BAFEB5D" w:rsidR="004F3227" w:rsidRDefault="004F3227" w:rsidP="009A7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 w:rsidRPr="004F3227">
              <w:rPr>
                <w:rFonts w:ascii="-webkit-standard" w:hAnsi="-webkit-standard"/>
                <w:color w:val="000000"/>
                <w:sz w:val="27"/>
                <w:szCs w:val="27"/>
              </w:rPr>
              <w:t>由</w:t>
            </w:r>
            <w:r w:rsidRPr="004F3227">
              <w:rPr>
                <w:rFonts w:ascii="-webkit-standard" w:hAnsi="-webkit-standard"/>
                <w:color w:val="000000"/>
                <w:sz w:val="27"/>
                <w:szCs w:val="27"/>
              </w:rPr>
              <w:t>TA</w:t>
            </w:r>
            <w:r w:rsidRPr="004F3227">
              <w:rPr>
                <w:rFonts w:ascii="-webkit-standard" w:hAnsi="-webkit-standard"/>
                <w:color w:val="000000"/>
                <w:sz w:val="27"/>
                <w:szCs w:val="27"/>
              </w:rPr>
              <w:t>系统处理，仅接受归属信息</w:t>
            </w:r>
          </w:p>
        </w:tc>
      </w:tr>
      <w:tr w:rsidR="004F3227" w14:paraId="0CDAFC5B" w14:textId="77777777" w:rsidTr="004F3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0DCAACA" w14:textId="298030DC" w:rsidR="004F3227" w:rsidRPr="004F3227" w:rsidRDefault="004F3227" w:rsidP="009A7252">
            <w:pPr>
              <w:rPr>
                <w:rFonts w:ascii="-webkit-standard" w:hAnsi="-webkit-standard" w:hint="eastAsia"/>
                <w:b w:val="0"/>
                <w:bCs w:val="0"/>
                <w:color w:val="000000"/>
                <w:sz w:val="27"/>
                <w:szCs w:val="27"/>
              </w:rPr>
            </w:pPr>
            <w:r w:rsidRPr="004F3227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t>输出管理费归属明细</w:t>
            </w:r>
          </w:p>
        </w:tc>
        <w:tc>
          <w:tcPr>
            <w:tcW w:w="4148" w:type="dxa"/>
          </w:tcPr>
          <w:p w14:paraId="6C90DF7F" w14:textId="5334392D" w:rsidR="004F3227" w:rsidRDefault="004F3227" w:rsidP="009A7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 w:rsidRPr="004F3227">
              <w:rPr>
                <w:rFonts w:ascii="-webkit-standard" w:hAnsi="-webkit-standard"/>
                <w:color w:val="000000"/>
                <w:sz w:val="27"/>
                <w:szCs w:val="27"/>
              </w:rPr>
              <w:t>提供给托管、</w:t>
            </w:r>
            <w:r w:rsidRPr="004F3227">
              <w:rPr>
                <w:rFonts w:ascii="-webkit-standard" w:hAnsi="-webkit-standard"/>
                <w:color w:val="000000"/>
                <w:sz w:val="27"/>
                <w:szCs w:val="27"/>
              </w:rPr>
              <w:t>TA</w:t>
            </w:r>
            <w:r w:rsidRPr="004F3227">
              <w:rPr>
                <w:rFonts w:ascii="-webkit-standard" w:hAnsi="-webkit-standard"/>
                <w:color w:val="000000"/>
                <w:sz w:val="27"/>
                <w:szCs w:val="27"/>
              </w:rPr>
              <w:t>、基金公司使用</w:t>
            </w:r>
          </w:p>
        </w:tc>
      </w:tr>
      <w:tr w:rsidR="004F3227" w14:paraId="7EAD2DA2" w14:textId="77777777" w:rsidTr="004F3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80FF438" w14:textId="0CB940CD" w:rsidR="004F3227" w:rsidRPr="004F3227" w:rsidRDefault="004F3227" w:rsidP="009A7252">
            <w:pPr>
              <w:rPr>
                <w:rFonts w:ascii="-webkit-standard" w:hAnsi="-webkit-standard" w:hint="eastAsia"/>
                <w:b w:val="0"/>
                <w:bCs w:val="0"/>
                <w:color w:val="000000"/>
                <w:sz w:val="27"/>
                <w:szCs w:val="27"/>
              </w:rPr>
            </w:pPr>
            <w:r w:rsidRPr="004F3227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t>支持</w:t>
            </w:r>
            <w:r w:rsidRPr="004F3227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t xml:space="preserve"> NAV/</w:t>
            </w:r>
            <w:r w:rsidRPr="004F3227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t>基准点位文件生成</w:t>
            </w:r>
          </w:p>
        </w:tc>
        <w:tc>
          <w:tcPr>
            <w:tcW w:w="4148" w:type="dxa"/>
          </w:tcPr>
          <w:p w14:paraId="2718D4EC" w14:textId="6F21CF6E" w:rsidR="004F3227" w:rsidRDefault="004F3227" w:rsidP="009A7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 w:rsidRPr="004F3227">
              <w:rPr>
                <w:rFonts w:ascii="-webkit-standard" w:hAnsi="-webkit-standard"/>
                <w:color w:val="000000"/>
                <w:sz w:val="27"/>
                <w:szCs w:val="27"/>
              </w:rPr>
              <w:t>为收益率计算服务</w:t>
            </w:r>
          </w:p>
        </w:tc>
      </w:tr>
    </w:tbl>
    <w:p w14:paraId="53C448E8" w14:textId="3E56E640" w:rsidR="00D1704A" w:rsidRPr="00D1704A" w:rsidRDefault="004F3227" w:rsidP="00D1704A">
      <w:pPr>
        <w:pStyle w:val="a3"/>
        <w:numPr>
          <w:ilvl w:val="0"/>
          <w:numId w:val="2"/>
        </w:numPr>
        <w:ind w:firstLineChars="0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 w:hint="eastAsia"/>
          <w:color w:val="000000"/>
          <w:sz w:val="27"/>
          <w:szCs w:val="27"/>
        </w:rPr>
        <w:t>TA</w:t>
      </w:r>
      <w:r>
        <w:rPr>
          <w:rFonts w:ascii="-webkit-standard" w:hAnsi="-webkit-standard" w:hint="eastAsia"/>
          <w:color w:val="000000"/>
          <w:sz w:val="27"/>
          <w:szCs w:val="27"/>
        </w:rPr>
        <w:t>系统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4106"/>
        <w:gridCol w:w="4820"/>
      </w:tblGrid>
      <w:tr w:rsidR="004F3227" w14:paraId="090548D6" w14:textId="77777777" w:rsidTr="00CC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1DC6614" w14:textId="77777777" w:rsidR="004F3227" w:rsidRDefault="004F3227" w:rsidP="00E53583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任务</w:t>
            </w:r>
          </w:p>
        </w:tc>
        <w:tc>
          <w:tcPr>
            <w:tcW w:w="4820" w:type="dxa"/>
          </w:tcPr>
          <w:p w14:paraId="7F44AF48" w14:textId="77777777" w:rsidR="004F3227" w:rsidRDefault="004F3227" w:rsidP="00E535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说明</w:t>
            </w:r>
          </w:p>
        </w:tc>
      </w:tr>
      <w:tr w:rsidR="004F3227" w14:paraId="2DCF1346" w14:textId="77777777" w:rsidTr="00CC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AC7DE89" w14:textId="7941E914" w:rsidR="004F3227" w:rsidRPr="00CC63D3" w:rsidRDefault="00D1704A" w:rsidP="00E53583">
            <w:pPr>
              <w:rPr>
                <w:rFonts w:ascii="-webkit-standard" w:hAnsi="-webkit-standard" w:hint="eastAsia"/>
                <w:b w:val="0"/>
                <w:bCs w:val="0"/>
                <w:color w:val="000000"/>
                <w:sz w:val="27"/>
                <w:szCs w:val="27"/>
              </w:rPr>
            </w:pPr>
            <w:r w:rsidRPr="00CC63D3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t>每日分摊或有管理费到份额明细</w:t>
            </w:r>
          </w:p>
        </w:tc>
        <w:tc>
          <w:tcPr>
            <w:tcW w:w="4820" w:type="dxa"/>
          </w:tcPr>
          <w:p w14:paraId="50B0E85D" w14:textId="1B0E3B93" w:rsidR="004F3227" w:rsidRDefault="00D1704A" w:rsidP="00E53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 w:rsidRPr="00D1704A">
              <w:rPr>
                <w:rFonts w:ascii="-webkit-standard" w:hAnsi="-webkit-standard"/>
                <w:color w:val="000000"/>
                <w:sz w:val="27"/>
                <w:szCs w:val="27"/>
              </w:rPr>
              <w:t>按静态</w:t>
            </w:r>
            <w:r w:rsidRPr="00D1704A">
              <w:rPr>
                <w:rFonts w:ascii="-webkit-standard" w:hAnsi="-webkit-standard"/>
                <w:color w:val="000000"/>
                <w:sz w:val="27"/>
                <w:szCs w:val="27"/>
              </w:rPr>
              <w:t>+</w:t>
            </w:r>
            <w:r w:rsidRPr="00D1704A">
              <w:rPr>
                <w:rFonts w:ascii="-webkit-standard" w:hAnsi="-webkit-standard"/>
                <w:color w:val="000000"/>
                <w:sz w:val="27"/>
                <w:szCs w:val="27"/>
              </w:rPr>
              <w:t>动态份额逻辑</w:t>
            </w:r>
          </w:p>
        </w:tc>
      </w:tr>
      <w:tr w:rsidR="004F3227" w14:paraId="506C7843" w14:textId="77777777" w:rsidTr="00CC6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C2335F3" w14:textId="53977EF3" w:rsidR="004F3227" w:rsidRPr="00CC63D3" w:rsidRDefault="00D1704A" w:rsidP="00E53583">
            <w:pPr>
              <w:rPr>
                <w:rFonts w:ascii="-webkit-standard" w:hAnsi="-webkit-standard" w:hint="eastAsia"/>
                <w:b w:val="0"/>
                <w:bCs w:val="0"/>
                <w:color w:val="000000"/>
                <w:sz w:val="27"/>
                <w:szCs w:val="27"/>
              </w:rPr>
            </w:pPr>
            <w:r w:rsidRPr="00CC63D3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t>每日预估超额管理费</w:t>
            </w:r>
          </w:p>
        </w:tc>
        <w:tc>
          <w:tcPr>
            <w:tcW w:w="4820" w:type="dxa"/>
          </w:tcPr>
          <w:p w14:paraId="6DD99D17" w14:textId="08C03098" w:rsidR="004F3227" w:rsidRDefault="00D1704A" w:rsidP="00E53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 w:rsidRPr="00D1704A">
              <w:rPr>
                <w:rFonts w:ascii="-webkit-standard" w:hAnsi="-webkit-standard"/>
                <w:color w:val="000000"/>
                <w:sz w:val="27"/>
                <w:szCs w:val="27"/>
              </w:rPr>
              <w:t>记录但不计提，不影响份额净值</w:t>
            </w:r>
          </w:p>
        </w:tc>
      </w:tr>
      <w:tr w:rsidR="004F3227" w14:paraId="10D8FE5E" w14:textId="77777777" w:rsidTr="00CC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C4E7462" w14:textId="4A978514" w:rsidR="004F3227" w:rsidRPr="00CC63D3" w:rsidRDefault="00D1704A" w:rsidP="00E53583">
            <w:pPr>
              <w:rPr>
                <w:rFonts w:ascii="-webkit-standard" w:hAnsi="-webkit-standard" w:hint="eastAsia"/>
                <w:b w:val="0"/>
                <w:bCs w:val="0"/>
                <w:color w:val="000000"/>
                <w:sz w:val="27"/>
                <w:szCs w:val="27"/>
              </w:rPr>
            </w:pPr>
            <w:r w:rsidRPr="00CC63D3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t>持有期</w:t>
            </w:r>
            <w:r w:rsidRPr="00CC63D3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t>+</w:t>
            </w:r>
            <w:r w:rsidRPr="00CC63D3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t>收益率判断逻辑</w:t>
            </w:r>
          </w:p>
        </w:tc>
        <w:tc>
          <w:tcPr>
            <w:tcW w:w="4820" w:type="dxa"/>
          </w:tcPr>
          <w:p w14:paraId="18D3CFD6" w14:textId="266D9348" w:rsidR="004F3227" w:rsidRDefault="00D1704A" w:rsidP="00E53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结合</w:t>
            </w:r>
            <w:r w:rsidRPr="00D1704A">
              <w:rPr>
                <w:rFonts w:ascii="-webkit-standard" w:hAnsi="-webkit-standard"/>
                <w:color w:val="000000"/>
                <w:sz w:val="27"/>
                <w:szCs w:val="27"/>
              </w:rPr>
              <w:t>NAV0/NAV1</w:t>
            </w:r>
            <w:r w:rsidRPr="00D1704A">
              <w:rPr>
                <w:rFonts w:ascii="-webkit-standard" w:hAnsi="-webkit-standard"/>
                <w:color w:val="000000"/>
                <w:sz w:val="27"/>
                <w:szCs w:val="27"/>
              </w:rPr>
              <w:t>、业绩比较基准</w:t>
            </w:r>
          </w:p>
        </w:tc>
      </w:tr>
      <w:tr w:rsidR="004F3227" w14:paraId="70EF8565" w14:textId="77777777" w:rsidTr="00CC6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FA30369" w14:textId="50AB3B54" w:rsidR="004F3227" w:rsidRPr="00CC63D3" w:rsidRDefault="00D1704A" w:rsidP="00E53583">
            <w:pPr>
              <w:rPr>
                <w:rFonts w:ascii="-webkit-standard" w:hAnsi="-webkit-standard" w:hint="eastAsia"/>
                <w:b w:val="0"/>
                <w:bCs w:val="0"/>
                <w:color w:val="000000"/>
                <w:sz w:val="27"/>
                <w:szCs w:val="27"/>
              </w:rPr>
            </w:pPr>
            <w:r w:rsidRPr="00CC63D3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t>赎回</w:t>
            </w:r>
            <w:r w:rsidRPr="00CC63D3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t>/</w:t>
            </w:r>
            <w:r w:rsidRPr="00CC63D3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t>转换</w:t>
            </w:r>
            <w:r w:rsidRPr="00CC63D3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t>/</w:t>
            </w:r>
            <w:r w:rsidRPr="00CC63D3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t>清盘事件判断</w:t>
            </w:r>
          </w:p>
        </w:tc>
        <w:tc>
          <w:tcPr>
            <w:tcW w:w="4820" w:type="dxa"/>
          </w:tcPr>
          <w:p w14:paraId="5BC6B3E0" w14:textId="3192D170" w:rsidR="004F3227" w:rsidRDefault="00D1704A" w:rsidP="00E53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 w:rsidRPr="00D1704A">
              <w:rPr>
                <w:rFonts w:ascii="-webkit-standard" w:hAnsi="-webkit-standard"/>
                <w:color w:val="000000"/>
                <w:sz w:val="27"/>
                <w:szCs w:val="27"/>
              </w:rPr>
              <w:t>决定返还</w:t>
            </w:r>
            <w:r w:rsidRPr="00D1704A"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or </w:t>
            </w:r>
            <w:r w:rsidRPr="00D1704A">
              <w:rPr>
                <w:rFonts w:ascii="-webkit-standard" w:hAnsi="-webkit-standard"/>
                <w:color w:val="000000"/>
                <w:sz w:val="27"/>
                <w:szCs w:val="27"/>
              </w:rPr>
              <w:t>扣除</w:t>
            </w:r>
            <w:r w:rsidRPr="00D1704A"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or</w:t>
            </w:r>
            <w:r w:rsidRPr="00D1704A">
              <w:rPr>
                <w:rFonts w:ascii="-webkit-standard" w:hAnsi="-webkit-standard"/>
                <w:color w:val="000000"/>
                <w:sz w:val="27"/>
                <w:szCs w:val="27"/>
              </w:rPr>
              <w:t>归属管理人</w:t>
            </w:r>
          </w:p>
        </w:tc>
      </w:tr>
      <w:tr w:rsidR="004F3227" w14:paraId="1FBAA296" w14:textId="77777777" w:rsidTr="00CC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FDD588C" w14:textId="2DEAC7D8" w:rsidR="004F3227" w:rsidRPr="00CC63D3" w:rsidRDefault="00D1704A" w:rsidP="00E53583">
            <w:pPr>
              <w:rPr>
                <w:rFonts w:ascii="-webkit-standard" w:hAnsi="-webkit-standard" w:hint="eastAsia"/>
                <w:b w:val="0"/>
                <w:bCs w:val="0"/>
                <w:color w:val="000000"/>
                <w:sz w:val="27"/>
                <w:szCs w:val="27"/>
              </w:rPr>
            </w:pPr>
            <w:r w:rsidRPr="00CC63D3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t>生成归属结果推送</w:t>
            </w:r>
          </w:p>
        </w:tc>
        <w:tc>
          <w:tcPr>
            <w:tcW w:w="4820" w:type="dxa"/>
          </w:tcPr>
          <w:p w14:paraId="599AB911" w14:textId="135602DD" w:rsidR="004F3227" w:rsidRDefault="00D1704A" w:rsidP="00E53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 w:rsidRPr="00D1704A">
              <w:rPr>
                <w:rFonts w:ascii="-webkit-standard" w:hAnsi="-webkit-standard"/>
                <w:color w:val="000000"/>
                <w:sz w:val="27"/>
                <w:szCs w:val="27"/>
              </w:rPr>
              <w:t>输出销售商、估值、客服接口所需字段</w:t>
            </w:r>
          </w:p>
        </w:tc>
      </w:tr>
      <w:tr w:rsidR="00D1704A" w14:paraId="5835671E" w14:textId="77777777" w:rsidTr="00CC6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851F572" w14:textId="7FF07D1C" w:rsidR="00D1704A" w:rsidRPr="00CC63D3" w:rsidRDefault="00D1704A" w:rsidP="00E53583">
            <w:pPr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</w:pPr>
            <w:r w:rsidRPr="00CC63D3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t>支持转托管</w:t>
            </w:r>
            <w:r w:rsidRPr="00CC63D3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t>/</w:t>
            </w:r>
            <w:r w:rsidRPr="00CC63D3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t>非交易过户</w:t>
            </w:r>
          </w:p>
        </w:tc>
        <w:tc>
          <w:tcPr>
            <w:tcW w:w="4820" w:type="dxa"/>
          </w:tcPr>
          <w:p w14:paraId="6B41D92C" w14:textId="767BCA0C" w:rsidR="00D1704A" w:rsidRPr="004F3227" w:rsidRDefault="00D1704A" w:rsidP="00E53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 w:rsidRPr="00D1704A">
              <w:rPr>
                <w:rFonts w:ascii="-webkit-standard" w:hAnsi="-webkit-standard"/>
                <w:color w:val="000000"/>
                <w:sz w:val="27"/>
                <w:szCs w:val="27"/>
              </w:rPr>
              <w:t>管理费明细随份额转出带走</w:t>
            </w:r>
          </w:p>
        </w:tc>
      </w:tr>
    </w:tbl>
    <w:p w14:paraId="129022DD" w14:textId="77777777" w:rsidR="004F3227" w:rsidRPr="004F3227" w:rsidRDefault="004F3227" w:rsidP="004F3227">
      <w:pPr>
        <w:rPr>
          <w:rFonts w:ascii="-webkit-standard" w:hAnsi="-webkit-standard" w:hint="eastAsia"/>
          <w:color w:val="000000"/>
          <w:sz w:val="27"/>
          <w:szCs w:val="27"/>
        </w:rPr>
      </w:pPr>
    </w:p>
    <w:p w14:paraId="72AB116B" w14:textId="4551E638" w:rsidR="00A8482F" w:rsidRPr="00A8482F" w:rsidRDefault="00693F6B" w:rsidP="00A8482F">
      <w:pPr>
        <w:pStyle w:val="a3"/>
        <w:numPr>
          <w:ilvl w:val="0"/>
          <w:numId w:val="1"/>
        </w:numPr>
        <w:ind w:firstLineChars="0"/>
        <w:outlineLvl w:val="0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 w:hint="eastAsia"/>
          <w:color w:val="000000"/>
          <w:sz w:val="27"/>
          <w:szCs w:val="27"/>
        </w:rPr>
        <w:t>业务控制与特殊场景处理</w:t>
      </w:r>
    </w:p>
    <w:tbl>
      <w:tblPr>
        <w:tblStyle w:val="1"/>
        <w:tblW w:w="9351" w:type="dxa"/>
        <w:tblLook w:val="04A0" w:firstRow="1" w:lastRow="0" w:firstColumn="1" w:lastColumn="0" w:noHBand="0" w:noVBand="1"/>
      </w:tblPr>
      <w:tblGrid>
        <w:gridCol w:w="2263"/>
        <w:gridCol w:w="7088"/>
      </w:tblGrid>
      <w:tr w:rsidR="00CC63D3" w14:paraId="38158DC5" w14:textId="77777777" w:rsidTr="00A84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07F62E" w14:textId="6ECA2B79" w:rsidR="00CC63D3" w:rsidRDefault="00A8482F" w:rsidP="00CC63D3">
            <w:pPr>
              <w:outlineLvl w:val="0"/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场景</w:t>
            </w:r>
          </w:p>
        </w:tc>
        <w:tc>
          <w:tcPr>
            <w:tcW w:w="7088" w:type="dxa"/>
          </w:tcPr>
          <w:p w14:paraId="497C13EF" w14:textId="7CAF0E59" w:rsidR="00CC63D3" w:rsidRDefault="00A8482F" w:rsidP="00CC63D3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说明</w:t>
            </w:r>
          </w:p>
        </w:tc>
      </w:tr>
      <w:tr w:rsidR="00CC63D3" w14:paraId="24039961" w14:textId="77777777" w:rsidTr="00A84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DEC7F28" w14:textId="75B7A675" w:rsidR="00CC63D3" w:rsidRPr="00A8482F" w:rsidRDefault="00A8482F" w:rsidP="00CC63D3">
            <w:pPr>
              <w:outlineLvl w:val="0"/>
              <w:rPr>
                <w:rFonts w:ascii="-webkit-standard" w:hAnsi="-webkit-standard" w:hint="eastAsia"/>
                <w:b w:val="0"/>
                <w:bCs w:val="0"/>
                <w:color w:val="000000"/>
                <w:sz w:val="27"/>
                <w:szCs w:val="27"/>
              </w:rPr>
            </w:pPr>
            <w:r w:rsidRPr="00A8482F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t>清盘</w:t>
            </w:r>
          </w:p>
        </w:tc>
        <w:tc>
          <w:tcPr>
            <w:tcW w:w="7088" w:type="dxa"/>
          </w:tcPr>
          <w:p w14:paraId="64D6EB09" w14:textId="16C24147" w:rsidR="00CC63D3" w:rsidRPr="00A8482F" w:rsidRDefault="00A8482F" w:rsidP="00CC63D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-webkit-standard" w:hAnsi="-webkit-standard" w:hint="eastAsia"/>
                <w:b/>
                <w:bCs/>
                <w:color w:val="000000"/>
                <w:sz w:val="27"/>
                <w:szCs w:val="27"/>
              </w:rPr>
            </w:pPr>
            <w:r w:rsidRPr="00A8482F">
              <w:rPr>
                <w:rFonts w:ascii="-webkit-standard" w:hAnsi="-webkit-standard"/>
                <w:color w:val="000000"/>
                <w:sz w:val="27"/>
                <w:szCs w:val="27"/>
              </w:rPr>
              <w:t>等同全量赎回，执行相同管理费判定</w:t>
            </w:r>
          </w:p>
        </w:tc>
      </w:tr>
      <w:tr w:rsidR="00CC63D3" w14:paraId="516359D1" w14:textId="77777777" w:rsidTr="00A84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91FE14D" w14:textId="5BA824AC" w:rsidR="00CC63D3" w:rsidRPr="00A8482F" w:rsidRDefault="00A8482F" w:rsidP="00CC63D3">
            <w:pPr>
              <w:outlineLvl w:val="0"/>
              <w:rPr>
                <w:rFonts w:ascii="-webkit-standard" w:hAnsi="-webkit-standard" w:hint="eastAsia"/>
                <w:b w:val="0"/>
                <w:bCs w:val="0"/>
                <w:color w:val="000000"/>
                <w:sz w:val="27"/>
                <w:szCs w:val="27"/>
              </w:rPr>
            </w:pPr>
            <w:r w:rsidRPr="00A8482F">
              <w:rPr>
                <w:rFonts w:ascii="-webkit-standard" w:hAnsi="-webkit-standard" w:hint="eastAsia"/>
                <w:b w:val="0"/>
                <w:bCs w:val="0"/>
                <w:color w:val="000000"/>
                <w:sz w:val="27"/>
                <w:szCs w:val="27"/>
              </w:rPr>
              <w:t>转换</w:t>
            </w:r>
          </w:p>
        </w:tc>
        <w:tc>
          <w:tcPr>
            <w:tcW w:w="7088" w:type="dxa"/>
          </w:tcPr>
          <w:p w14:paraId="17131041" w14:textId="273B3E38" w:rsidR="00CC63D3" w:rsidRDefault="00A8482F" w:rsidP="00CC63D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 w:rsidRPr="00A8482F">
              <w:rPr>
                <w:rFonts w:ascii="-webkit-standard" w:hAnsi="-webkit-standard"/>
                <w:color w:val="000000"/>
                <w:sz w:val="27"/>
                <w:szCs w:val="27"/>
              </w:rPr>
              <w:t>转出份额先进行管理费归属判断，返还</w:t>
            </w:r>
            <w:r w:rsidRPr="00A8482F">
              <w:rPr>
                <w:rFonts w:ascii="-webkit-standard" w:hAnsi="-webkit-standard"/>
                <w:color w:val="000000"/>
                <w:sz w:val="27"/>
                <w:szCs w:val="27"/>
              </w:rPr>
              <w:t>/</w:t>
            </w:r>
            <w:r w:rsidRPr="00A8482F">
              <w:rPr>
                <w:rFonts w:ascii="-webkit-standard" w:hAnsi="-webkit-standard"/>
                <w:color w:val="000000"/>
                <w:sz w:val="27"/>
                <w:szCs w:val="27"/>
              </w:rPr>
              <w:t>扣除后转入新基金</w:t>
            </w:r>
          </w:p>
        </w:tc>
      </w:tr>
      <w:tr w:rsidR="00A8482F" w14:paraId="73810FAF" w14:textId="77777777" w:rsidTr="00A84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A4A699" w14:textId="42EDE739" w:rsidR="00A8482F" w:rsidRPr="00A8482F" w:rsidRDefault="00A8482F" w:rsidP="00CC63D3">
            <w:pPr>
              <w:outlineLvl w:val="0"/>
              <w:rPr>
                <w:rFonts w:ascii="-webkit-standard" w:hAnsi="-webkit-standard" w:hint="eastAsia"/>
                <w:b w:val="0"/>
                <w:bCs w:val="0"/>
                <w:color w:val="000000"/>
                <w:sz w:val="27"/>
                <w:szCs w:val="27"/>
              </w:rPr>
            </w:pPr>
            <w:r w:rsidRPr="00A8482F">
              <w:rPr>
                <w:rFonts w:ascii="-webkit-standard" w:hAnsi="-webkit-standard" w:hint="eastAsia"/>
                <w:b w:val="0"/>
                <w:bCs w:val="0"/>
                <w:color w:val="000000"/>
                <w:sz w:val="27"/>
                <w:szCs w:val="27"/>
              </w:rPr>
              <w:t>非交易过户</w:t>
            </w:r>
          </w:p>
        </w:tc>
        <w:tc>
          <w:tcPr>
            <w:tcW w:w="7088" w:type="dxa"/>
          </w:tcPr>
          <w:p w14:paraId="3A97FAE6" w14:textId="1C92595A" w:rsidR="00A8482F" w:rsidRDefault="00A8482F" w:rsidP="00CC63D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 w:rsidRPr="00A8482F">
              <w:rPr>
                <w:rFonts w:ascii="-webkit-standard" w:hAnsi="-webkit-standard"/>
                <w:color w:val="000000"/>
                <w:sz w:val="27"/>
                <w:szCs w:val="27"/>
              </w:rPr>
              <w:t>管理费按份额比例随份额明细迁移</w:t>
            </w:r>
          </w:p>
        </w:tc>
      </w:tr>
      <w:tr w:rsidR="00CC63D3" w14:paraId="724BDC09" w14:textId="77777777" w:rsidTr="00A84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B797659" w14:textId="5144F9C2" w:rsidR="00CC63D3" w:rsidRPr="00A8482F" w:rsidRDefault="00A8482F" w:rsidP="00CC63D3">
            <w:pPr>
              <w:outlineLvl w:val="0"/>
              <w:rPr>
                <w:rFonts w:ascii="-webkit-standard" w:hAnsi="-webkit-standard" w:hint="eastAsia"/>
                <w:b w:val="0"/>
                <w:bCs w:val="0"/>
                <w:color w:val="000000"/>
                <w:sz w:val="27"/>
                <w:szCs w:val="27"/>
              </w:rPr>
            </w:pPr>
            <w:r w:rsidRPr="00A8482F">
              <w:rPr>
                <w:rFonts w:ascii="-webkit-standard" w:hAnsi="-webkit-standard"/>
                <w:b w:val="0"/>
                <w:bCs w:val="0"/>
                <w:color w:val="000000"/>
                <w:sz w:val="27"/>
                <w:szCs w:val="27"/>
              </w:rPr>
              <w:t>不支持产品类型</w:t>
            </w:r>
          </w:p>
        </w:tc>
        <w:tc>
          <w:tcPr>
            <w:tcW w:w="7088" w:type="dxa"/>
          </w:tcPr>
          <w:p w14:paraId="2DBE22DA" w14:textId="2FB1C6E0" w:rsidR="00CC63D3" w:rsidRDefault="00A8482F" w:rsidP="00CC63D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 w:rsidRPr="00A8482F">
              <w:rPr>
                <w:rFonts w:ascii="-webkit-standard" w:hAnsi="-webkit-standard"/>
                <w:color w:val="000000"/>
                <w:sz w:val="27"/>
                <w:szCs w:val="27"/>
              </w:rPr>
              <w:t>本机制不支持</w:t>
            </w:r>
            <w:r w:rsidRPr="00A8482F"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FOF</w:t>
            </w:r>
            <w:r w:rsidRPr="00A8482F">
              <w:rPr>
                <w:rFonts w:ascii="-webkit-standard" w:hAnsi="-webkit-standard"/>
                <w:color w:val="000000"/>
                <w:sz w:val="27"/>
                <w:szCs w:val="27"/>
              </w:rPr>
              <w:t>、</w:t>
            </w:r>
            <w:r w:rsidRPr="00A8482F">
              <w:rPr>
                <w:rFonts w:ascii="-webkit-standard" w:hAnsi="-webkit-standard"/>
                <w:color w:val="000000"/>
                <w:sz w:val="27"/>
                <w:szCs w:val="27"/>
              </w:rPr>
              <w:t>QDII</w:t>
            </w:r>
            <w:r w:rsidRPr="00A8482F">
              <w:rPr>
                <w:rFonts w:ascii="-webkit-standard" w:hAnsi="-webkit-standard"/>
                <w:color w:val="000000"/>
                <w:sz w:val="27"/>
                <w:szCs w:val="27"/>
              </w:rPr>
              <w:t>、</w:t>
            </w:r>
            <w:r w:rsidRPr="00A8482F"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TN </w:t>
            </w:r>
            <w:r w:rsidRPr="00A8482F">
              <w:rPr>
                <w:rFonts w:ascii="-webkit-standard" w:hAnsi="-webkit-standard"/>
                <w:color w:val="000000"/>
                <w:sz w:val="27"/>
                <w:szCs w:val="27"/>
              </w:rPr>
              <w:t>类产品</w:t>
            </w:r>
          </w:p>
        </w:tc>
      </w:tr>
    </w:tbl>
    <w:p w14:paraId="40600243" w14:textId="77777777" w:rsidR="00693F6B" w:rsidRPr="00693F6B" w:rsidRDefault="00693F6B">
      <w:pPr>
        <w:rPr>
          <w:rFonts w:hint="eastAsia"/>
          <w:b/>
          <w:bCs/>
        </w:rPr>
      </w:pPr>
    </w:p>
    <w:sectPr w:rsidR="00693F6B" w:rsidRPr="00693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DCA"/>
    <w:multiLevelType w:val="multilevel"/>
    <w:tmpl w:val="A468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C694D"/>
    <w:multiLevelType w:val="hybridMultilevel"/>
    <w:tmpl w:val="E0825816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8B14B2"/>
    <w:multiLevelType w:val="hybridMultilevel"/>
    <w:tmpl w:val="416C3A46"/>
    <w:lvl w:ilvl="0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0E9762F1"/>
    <w:multiLevelType w:val="hybridMultilevel"/>
    <w:tmpl w:val="BCD83774"/>
    <w:lvl w:ilvl="0" w:tplc="CD6653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158098E"/>
    <w:multiLevelType w:val="hybridMultilevel"/>
    <w:tmpl w:val="6464D4A8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63816AB"/>
    <w:multiLevelType w:val="hybridMultilevel"/>
    <w:tmpl w:val="816462A2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DE6103"/>
    <w:multiLevelType w:val="multilevel"/>
    <w:tmpl w:val="EF4A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C7E7E"/>
    <w:multiLevelType w:val="hybridMultilevel"/>
    <w:tmpl w:val="C1DED44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365197D"/>
    <w:multiLevelType w:val="hybridMultilevel"/>
    <w:tmpl w:val="0FA0D10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7CF6395"/>
    <w:multiLevelType w:val="multilevel"/>
    <w:tmpl w:val="1DE0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E1F94"/>
    <w:multiLevelType w:val="multilevel"/>
    <w:tmpl w:val="401E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A4816"/>
    <w:multiLevelType w:val="hybridMultilevel"/>
    <w:tmpl w:val="7CDECD2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1E51DC1"/>
    <w:multiLevelType w:val="hybridMultilevel"/>
    <w:tmpl w:val="AC8059D4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20323912">
    <w:abstractNumId w:val="3"/>
  </w:num>
  <w:num w:numId="2" w16cid:durableId="2130852815">
    <w:abstractNumId w:val="7"/>
  </w:num>
  <w:num w:numId="3" w16cid:durableId="346909938">
    <w:abstractNumId w:val="0"/>
  </w:num>
  <w:num w:numId="4" w16cid:durableId="106781134">
    <w:abstractNumId w:val="1"/>
  </w:num>
  <w:num w:numId="5" w16cid:durableId="664015554">
    <w:abstractNumId w:val="8"/>
  </w:num>
  <w:num w:numId="6" w16cid:durableId="1098598113">
    <w:abstractNumId w:val="6"/>
  </w:num>
  <w:num w:numId="7" w16cid:durableId="1776242124">
    <w:abstractNumId w:val="11"/>
  </w:num>
  <w:num w:numId="8" w16cid:durableId="543063015">
    <w:abstractNumId w:val="2"/>
  </w:num>
  <w:num w:numId="9" w16cid:durableId="937638503">
    <w:abstractNumId w:val="9"/>
  </w:num>
  <w:num w:numId="10" w16cid:durableId="1857428595">
    <w:abstractNumId w:val="4"/>
  </w:num>
  <w:num w:numId="11" w16cid:durableId="1579631282">
    <w:abstractNumId w:val="12"/>
  </w:num>
  <w:num w:numId="12" w16cid:durableId="624700643">
    <w:abstractNumId w:val="10"/>
  </w:num>
  <w:num w:numId="13" w16cid:durableId="1058015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6B"/>
    <w:rsid w:val="000008C6"/>
    <w:rsid w:val="000743A4"/>
    <w:rsid w:val="0009461A"/>
    <w:rsid w:val="000E25E6"/>
    <w:rsid w:val="001A333A"/>
    <w:rsid w:val="001C5155"/>
    <w:rsid w:val="00252BDF"/>
    <w:rsid w:val="003C11FF"/>
    <w:rsid w:val="00466E1D"/>
    <w:rsid w:val="004707EB"/>
    <w:rsid w:val="004F3227"/>
    <w:rsid w:val="005B2F1E"/>
    <w:rsid w:val="005D6DD1"/>
    <w:rsid w:val="005E0A63"/>
    <w:rsid w:val="006920F8"/>
    <w:rsid w:val="00693F6B"/>
    <w:rsid w:val="006D4C21"/>
    <w:rsid w:val="00711FA7"/>
    <w:rsid w:val="00804870"/>
    <w:rsid w:val="008F7F28"/>
    <w:rsid w:val="00917996"/>
    <w:rsid w:val="009444C1"/>
    <w:rsid w:val="009A7252"/>
    <w:rsid w:val="00A8482F"/>
    <w:rsid w:val="00B03DFC"/>
    <w:rsid w:val="00C650D4"/>
    <w:rsid w:val="00CC63D3"/>
    <w:rsid w:val="00D1704A"/>
    <w:rsid w:val="00D4091B"/>
    <w:rsid w:val="00D46B5C"/>
    <w:rsid w:val="00DA5BA2"/>
    <w:rsid w:val="00EC6D6A"/>
    <w:rsid w:val="00F05486"/>
    <w:rsid w:val="00F84BCC"/>
    <w:rsid w:val="00FB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2951"/>
  <w15:chartTrackingRefBased/>
  <w15:docId w15:val="{86BC7155-59D9-3A44-B090-B6758F97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A33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54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F6B"/>
    <w:pPr>
      <w:ind w:firstLineChars="200" w:firstLine="420"/>
    </w:pPr>
  </w:style>
  <w:style w:type="table" w:styleId="a4">
    <w:name w:val="Table Grid"/>
    <w:basedOn w:val="a1"/>
    <w:uiPriority w:val="39"/>
    <w:rsid w:val="00917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91799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179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9179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91799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Normal (Web)"/>
    <w:basedOn w:val="a"/>
    <w:uiPriority w:val="99"/>
    <w:unhideWhenUsed/>
    <w:rsid w:val="009179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Strong"/>
    <w:basedOn w:val="a0"/>
    <w:uiPriority w:val="22"/>
    <w:qFormat/>
    <w:rsid w:val="00917996"/>
    <w:rPr>
      <w:b/>
      <w:bCs/>
    </w:rPr>
  </w:style>
  <w:style w:type="character" w:customStyle="1" w:styleId="30">
    <w:name w:val="标题 3 字符"/>
    <w:basedOn w:val="a0"/>
    <w:link w:val="3"/>
    <w:uiPriority w:val="9"/>
    <w:rsid w:val="001A333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semiHidden/>
    <w:rsid w:val="00F054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054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5486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05486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F05486"/>
  </w:style>
  <w:style w:type="character" w:customStyle="1" w:styleId="hljs-punctuation">
    <w:name w:val="hljs-punctuation"/>
    <w:basedOn w:val="a0"/>
    <w:rsid w:val="00F05486"/>
  </w:style>
  <w:style w:type="character" w:customStyle="1" w:styleId="hljs-builtin">
    <w:name w:val="hljs-built_in"/>
    <w:basedOn w:val="a0"/>
    <w:rsid w:val="00F05486"/>
  </w:style>
  <w:style w:type="character" w:customStyle="1" w:styleId="hljs-number">
    <w:name w:val="hljs-number"/>
    <w:basedOn w:val="a0"/>
    <w:rsid w:val="00F05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72B407-04FB-534C-8435-E293F28D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黄剑秋</dc:creator>
  <cp:keywords/>
  <dc:description/>
  <cp:lastModifiedBy>黄剑秋</cp:lastModifiedBy>
  <cp:revision>30</cp:revision>
  <dcterms:created xsi:type="dcterms:W3CDTF">2025-06-19T02:40:00Z</dcterms:created>
  <dcterms:modified xsi:type="dcterms:W3CDTF">2025-06-19T07:49:00Z</dcterms:modified>
</cp:coreProperties>
</file>