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line="360" w:lineRule="auto"/>
        <w:jc w:val="center"/>
      </w:pPr>
      <w:r>
        <w:rPr>
          <w:rFonts w:ascii="Times New Roman" w:hAnsi="Times New Roman"/>
          <w:b/>
          <w:color w:val="000000"/>
          <w:sz w:val="30"/>
        </w:rPr>
        <w:t>SIMULADOR DE PRUEBAS SABER TyT: SEGURIDAD JWT, AUTORIZACIÓN POR ROLES Y EVALUACIÓN DE CUESTIONARIOS EN DJANGO</w:t>
      </w:r>
    </w:p>
    <w:p>
      <w:pPr>
        <w:spacing w:before="120"/>
        <w:jc w:val="center"/>
      </w:pPr>
      <w:r>
        <w:rPr>
          <w:rFonts w:ascii="Times New Roman" w:hAnsi="Times New Roman"/>
          <w:i/>
          <w:color w:val="000000"/>
          <w:sz w:val="24"/>
        </w:rPr>
        <w:t>Informe Técnico de Implementación Práctica — Segundo Parcial Evaluativo</w:t>
      </w:r>
    </w:p>
    <w:p>
      <w:pPr>
        <w:spacing w:before="1200"/>
      </w:pPr>
    </w:p>
    <w:p>
      <w:pPr>
        <w:spacing w:line="360" w:lineRule="auto"/>
        <w:jc w:val="center"/>
      </w:pPr>
      <w:r>
        <w:rPr>
          <w:rFonts w:ascii="Times New Roman" w:hAnsi="Times New Roman"/>
          <w:b/>
          <w:color w:val="000000"/>
          <w:sz w:val="24"/>
        </w:rPr>
        <w:t>Jenkner Johan Arteaga Delgado</w:t>
        <w:br/>
      </w:r>
      <w:r>
        <w:rPr>
          <w:rFonts w:ascii="Times New Roman" w:hAnsi="Times New Roman"/>
          <w:b/>
          <w:color w:val="000000"/>
          <w:sz w:val="24"/>
        </w:rPr>
        <w:t>Neider Duvan Quindigua Machoa</w:t>
        <w:br/>
      </w:r>
      <w:r>
        <w:rPr>
          <w:rFonts w:ascii="Times New Roman" w:hAnsi="Times New Roman"/>
          <w:b/>
          <w:color w:val="000000"/>
          <w:sz w:val="24"/>
        </w:rPr>
        <w:t>David Mauricio Zambrano Guerrero</w:t>
        <w:br/>
      </w:r>
    </w:p>
    <w:p>
      <w:pPr>
        <w:spacing w:before="1200"/>
      </w:pPr>
    </w:p>
    <w:p>
      <w:pPr>
        <w:spacing w:line="360" w:lineRule="auto"/>
        <w:jc w:val="center"/>
      </w:pPr>
      <w:r>
        <w:rPr>
          <w:rFonts w:ascii="Times New Roman" w:hAnsi="Times New Roman"/>
          <w:color w:val="000000"/>
          <w:sz w:val="22"/>
        </w:rPr>
        <w:t>Facultad de Ingeniería, Programa de Ingeniería de Sistemas</w:t>
        <w:br/>
      </w:r>
      <w:r>
        <w:rPr>
          <w:rFonts w:ascii="Times New Roman" w:hAnsi="Times New Roman"/>
          <w:color w:val="000000"/>
          <w:sz w:val="22"/>
        </w:rPr>
        <w:t>Institución Universitaria del Putumayo (IUP)</w:t>
        <w:br/>
      </w:r>
      <w:r>
        <w:rPr>
          <w:rFonts w:ascii="Times New Roman" w:hAnsi="Times New Roman"/>
          <w:color w:val="000000"/>
          <w:sz w:val="22"/>
        </w:rPr>
        <w:t>Electiva Profesional III – Frameworks de Aplicaciones Web</w:t>
        <w:br/>
      </w:r>
      <w:r>
        <w:rPr>
          <w:rFonts w:ascii="Times New Roman" w:hAnsi="Times New Roman"/>
          <w:color w:val="000000"/>
          <w:sz w:val="22"/>
        </w:rPr>
        <w:t>Docente Titular: Ing. Raúl Rodríguez</w:t>
        <w:br/>
      </w:r>
      <w:r>
        <w:rPr>
          <w:rFonts w:ascii="Times New Roman" w:hAnsi="Times New Roman"/>
          <w:color w:val="000000"/>
          <w:sz w:val="22"/>
        </w:rPr>
        <w:t>Mocoa, Putumayo, Colombia</w:t>
        <w:br/>
      </w:r>
      <w:r>
        <w:rPr>
          <w:rFonts w:ascii="Times New Roman" w:hAnsi="Times New Roman"/>
          <w:color w:val="000000"/>
          <w:sz w:val="22"/>
        </w:rPr>
        <w:t>Octubre de 2026</w:t>
        <w:br/>
      </w:r>
    </w:p>
    <w:p>
      <w:r>
        <w:br w:type="page"/>
      </w:r>
    </w:p>
    <w:p>
      <w:pPr>
        <w:spacing w:before="240" w:after="120" w:line="360" w:lineRule="auto"/>
        <w:jc w:val="center"/>
      </w:pPr>
      <w:r>
        <w:rPr>
          <w:rFonts w:ascii="Times New Roman" w:hAnsi="Times New Roman"/>
          <w:b/>
          <w:color w:val="000000"/>
          <w:sz w:val="28"/>
        </w:rPr>
        <w:t>Resumen</w:t>
      </w:r>
    </w:p>
    <w:p>
      <w:pPr>
        <w:spacing w:line="360" w:lineRule="auto" w:after="120" w:before="0"/>
        <w:ind w:firstLine="0"/>
        <w:jc w:val="both"/>
      </w:pPr>
      <w:r>
        <w:rPr>
          <w:rFonts w:ascii="Times New Roman" w:hAnsi="Times New Roman"/>
          <w:color w:val="000000"/>
          <w:sz w:val="24"/>
        </w:rPr>
        <w:t>El presente informe técnico expone la arquitectura, desarrollo e integración del sistema integral de evaluación para pruebas de Estado Saber TyT, desarrollado bajo el framework web Django y MariaDB/MySQL. El proyecto consolida la continuidad del taller formativo progresivo en la asignatura Frameworks de Aplicaciones Web, incorporando una infraestructura de seguridad basada en Tokens Web JSON (JWT) con rotación y revocación en lista negra, un modelo de control de acceso por roles dinámicos (RBAC) con permisos granulares, un banco de preguntas clasificado por competencias institucionales con detección de duplicados mediante la función criptográfica SHA-256, un motor de importación masiva de reactivos mediante hojas de cálculo Excel (.xlsx), y un subsistema de evaluación cronometrada en tiempo real con calificación automática y retroalimentación pedagógica calculada exclusivamente en el servidor. Las pruebas ejecutadas demuestran el cumplimiento del 100% de los lineamientos establecidos en la guía evaluativa del Segundo Parcial de la Institución Universitaria del Putumayo.</w:t>
      </w:r>
    </w:p>
    <w:p>
      <w:pPr>
        <w:spacing w:before="240" w:line="360" w:lineRule="auto"/>
        <w:ind w:firstLine="720"/>
      </w:pPr>
      <w:r>
        <w:rPr>
          <w:rFonts w:ascii="Times New Roman" w:hAnsi="Times New Roman"/>
          <w:i/>
          <w:color w:val="000000"/>
          <w:sz w:val="24"/>
        </w:rPr>
        <w:t xml:space="preserve">Palabras clave: </w:t>
      </w:r>
      <w:r>
        <w:rPr>
          <w:rFonts w:ascii="Times New Roman" w:hAnsi="Times New Roman"/>
          <w:color w:val="000000"/>
          <w:sz w:val="24"/>
        </w:rPr>
        <w:t>Django, JSON Web Tokens (JWT), Saber TyT, control de acceso por roles (RBAC), evaluación automatizada, huella digital SHA-256, MariaDB.</w:t>
      </w:r>
    </w:p>
    <w:p>
      <w:r>
        <w:br w:type="page"/>
      </w:r>
    </w:p>
    <w:p>
      <w:pPr>
        <w:spacing w:before="240" w:after="120" w:line="360" w:lineRule="auto"/>
        <w:jc w:val="center"/>
      </w:pPr>
      <w:r>
        <w:rPr>
          <w:rFonts w:ascii="Times New Roman" w:hAnsi="Times New Roman"/>
          <w:b/>
          <w:color w:val="000000"/>
          <w:sz w:val="28"/>
        </w:rPr>
        <w:t>Tabla de Contenido</w:t>
      </w:r>
    </w:p>
    <w:p>
      <w:pPr>
        <w:spacing w:line="312" w:lineRule="auto"/>
      </w:pPr>
    </w:p>
    <w:p>
      <w:pPr>
        <w:spacing w:line="288" w:lineRule="auto" w:after="40"/>
      </w:pPr>
      <w:r>
        <w:rPr>
          <w:rFonts w:ascii="Times New Roman" w:hAnsi="Times New Roman"/>
          <w:color w:val="000000"/>
          <w:sz w:val="22"/>
        </w:rPr>
        <w:t>1. Introducción y Contexto Institucional</w:t>
      </w:r>
      <w:r>
        <w:rPr>
          <w:rFonts w:ascii="Times New Roman" w:hAnsi="Times New Roman"/>
          <w:color w:val="787878"/>
          <w:sz w:val="22"/>
        </w:rPr>
        <w:t xml:space="preserve"> ................................... </w:t>
      </w:r>
      <w:r>
        <w:rPr>
          <w:rFonts w:ascii="Times New Roman" w:hAnsi="Times New Roman"/>
          <w:b/>
          <w:color w:val="000000"/>
          <w:sz w:val="22"/>
        </w:rPr>
        <w:t>4</w:t>
      </w:r>
    </w:p>
    <w:p>
      <w:pPr>
        <w:spacing w:line="288" w:lineRule="auto" w:after="40"/>
      </w:pPr>
      <w:r>
        <w:rPr>
          <w:rFonts w:ascii="Times New Roman" w:hAnsi="Times New Roman"/>
          <w:color w:val="000000"/>
          <w:sz w:val="22"/>
        </w:rPr>
        <w:t>2. Objetivos del Informe Técnico</w:t>
      </w:r>
      <w:r>
        <w:rPr>
          <w:rFonts w:ascii="Times New Roman" w:hAnsi="Times New Roman"/>
          <w:color w:val="787878"/>
          <w:sz w:val="22"/>
        </w:rPr>
        <w:t xml:space="preserve"> ........................................... </w:t>
      </w:r>
      <w:r>
        <w:rPr>
          <w:rFonts w:ascii="Times New Roman" w:hAnsi="Times New Roman"/>
          <w:b/>
          <w:color w:val="000000"/>
          <w:sz w:val="22"/>
        </w:rPr>
        <w:t>5</w:t>
      </w:r>
    </w:p>
    <w:p>
      <w:pPr>
        <w:spacing w:line="288" w:lineRule="auto" w:after="40"/>
      </w:pPr>
      <w:r>
        <w:rPr>
          <w:rFonts w:ascii="Times New Roman" w:hAnsi="Times New Roman"/>
          <w:color w:val="000000"/>
          <w:sz w:val="22"/>
        </w:rPr>
        <w:t xml:space="preserve">   2.1 Objetivo General</w:t>
      </w:r>
      <w:r>
        <w:rPr>
          <w:rFonts w:ascii="Times New Roman" w:hAnsi="Times New Roman"/>
          <w:color w:val="787878"/>
          <w:sz w:val="22"/>
        </w:rPr>
        <w:t xml:space="preserve"> .................................................... </w:t>
      </w:r>
      <w:r>
        <w:rPr>
          <w:rFonts w:ascii="Times New Roman" w:hAnsi="Times New Roman"/>
          <w:b/>
          <w:color w:val="000000"/>
          <w:sz w:val="22"/>
        </w:rPr>
        <w:t>5</w:t>
      </w:r>
    </w:p>
    <w:p>
      <w:pPr>
        <w:spacing w:line="288" w:lineRule="auto" w:after="40"/>
      </w:pPr>
      <w:r>
        <w:rPr>
          <w:rFonts w:ascii="Times New Roman" w:hAnsi="Times New Roman"/>
          <w:color w:val="000000"/>
          <w:sz w:val="22"/>
        </w:rPr>
        <w:t xml:space="preserve">   2.2 Objetivos Específicos</w:t>
      </w:r>
      <w:r>
        <w:rPr>
          <w:rFonts w:ascii="Times New Roman" w:hAnsi="Times New Roman"/>
          <w:color w:val="787878"/>
          <w:sz w:val="22"/>
        </w:rPr>
        <w:t xml:space="preserve"> ............................................... </w:t>
      </w:r>
      <w:r>
        <w:rPr>
          <w:rFonts w:ascii="Times New Roman" w:hAnsi="Times New Roman"/>
          <w:b/>
          <w:color w:val="000000"/>
          <w:sz w:val="22"/>
        </w:rPr>
        <w:t>5</w:t>
      </w:r>
    </w:p>
    <w:p>
      <w:pPr>
        <w:spacing w:line="288" w:lineRule="auto" w:after="40"/>
      </w:pPr>
      <w:r>
        <w:rPr>
          <w:rFonts w:ascii="Times New Roman" w:hAnsi="Times New Roman"/>
          <w:color w:val="000000"/>
          <w:sz w:val="22"/>
        </w:rPr>
        <w:t>3. Arquitectura Global de la Solución</w:t>
      </w:r>
      <w:r>
        <w:rPr>
          <w:rFonts w:ascii="Times New Roman" w:hAnsi="Times New Roman"/>
          <w:color w:val="787878"/>
          <w:sz w:val="22"/>
        </w:rPr>
        <w:t xml:space="preserve"> ...................................... </w:t>
      </w:r>
      <w:r>
        <w:rPr>
          <w:rFonts w:ascii="Times New Roman" w:hAnsi="Times New Roman"/>
          <w:b/>
          <w:color w:val="000000"/>
          <w:sz w:val="22"/>
        </w:rPr>
        <w:t>6</w:t>
      </w:r>
    </w:p>
    <w:p>
      <w:pPr>
        <w:spacing w:line="288" w:lineRule="auto" w:after="40"/>
      </w:pPr>
      <w:r>
        <w:rPr>
          <w:rFonts w:ascii="Times New Roman" w:hAnsi="Times New Roman"/>
          <w:color w:val="000000"/>
          <w:sz w:val="22"/>
        </w:rPr>
        <w:t xml:space="preserve">   3.1 Patrón de Arquitectura MVT y Componentes Backend</w:t>
      </w:r>
      <w:r>
        <w:rPr>
          <w:rFonts w:ascii="Times New Roman" w:hAnsi="Times New Roman"/>
          <w:color w:val="787878"/>
          <w:sz w:val="22"/>
        </w:rPr>
        <w:t xml:space="preserve"> .................... </w:t>
      </w:r>
      <w:r>
        <w:rPr>
          <w:rFonts w:ascii="Times New Roman" w:hAnsi="Times New Roman"/>
          <w:b/>
          <w:color w:val="000000"/>
          <w:sz w:val="22"/>
        </w:rPr>
        <w:t>6</w:t>
      </w:r>
    </w:p>
    <w:p>
      <w:pPr>
        <w:spacing w:line="288" w:lineRule="auto" w:after="40"/>
      </w:pPr>
      <w:r>
        <w:rPr>
          <w:rFonts w:ascii="Times New Roman" w:hAnsi="Times New Roman"/>
          <w:color w:val="000000"/>
          <w:sz w:val="22"/>
        </w:rPr>
        <w:t xml:space="preserve">   3.2 Base de Datos Relacional y Esquema Físico</w:t>
      </w:r>
      <w:r>
        <w:rPr>
          <w:rFonts w:ascii="Times New Roman" w:hAnsi="Times New Roman"/>
          <w:color w:val="787878"/>
          <w:sz w:val="22"/>
        </w:rPr>
        <w:t xml:space="preserve"> ........................... </w:t>
      </w:r>
      <w:r>
        <w:rPr>
          <w:rFonts w:ascii="Times New Roman" w:hAnsi="Times New Roman"/>
          <w:b/>
          <w:color w:val="000000"/>
          <w:sz w:val="22"/>
        </w:rPr>
        <w:t>7</w:t>
      </w:r>
    </w:p>
    <w:p>
      <w:pPr>
        <w:spacing w:line="288" w:lineRule="auto" w:after="40"/>
      </w:pPr>
      <w:r>
        <w:rPr>
          <w:rFonts w:ascii="Times New Roman" w:hAnsi="Times New Roman"/>
          <w:color w:val="000000"/>
          <w:sz w:val="22"/>
        </w:rPr>
        <w:t>4. Módulo 1: Autenticación Robusta y Seguridad con Tokens JWT</w:t>
      </w:r>
      <w:r>
        <w:rPr>
          <w:rFonts w:ascii="Times New Roman" w:hAnsi="Times New Roman"/>
          <w:color w:val="787878"/>
          <w:sz w:val="22"/>
        </w:rPr>
        <w:t xml:space="preserve"> .............. </w:t>
      </w:r>
      <w:r>
        <w:rPr>
          <w:rFonts w:ascii="Times New Roman" w:hAnsi="Times New Roman"/>
          <w:b/>
          <w:color w:val="000000"/>
          <w:sz w:val="22"/>
        </w:rPr>
        <w:t>8</w:t>
      </w:r>
    </w:p>
    <w:p>
      <w:pPr>
        <w:spacing w:line="288" w:lineRule="auto" w:after="40"/>
      </w:pPr>
      <w:r>
        <w:rPr>
          <w:rFonts w:ascii="Times New Roman" w:hAnsi="Times New Roman"/>
          <w:color w:val="000000"/>
          <w:sz w:val="22"/>
        </w:rPr>
        <w:t xml:space="preserve">   4.1 Ciclo de Vida del Token: Acceso, Renovación y Revocación</w:t>
      </w:r>
      <w:r>
        <w:rPr>
          <w:rFonts w:ascii="Times New Roman" w:hAnsi="Times New Roman"/>
          <w:color w:val="787878"/>
          <w:sz w:val="22"/>
        </w:rPr>
        <w:t xml:space="preserve"> ............ </w:t>
      </w:r>
      <w:r>
        <w:rPr>
          <w:rFonts w:ascii="Times New Roman" w:hAnsi="Times New Roman"/>
          <w:b/>
          <w:color w:val="000000"/>
          <w:sz w:val="22"/>
        </w:rPr>
        <w:t>8</w:t>
      </w:r>
    </w:p>
    <w:p>
      <w:pPr>
        <w:spacing w:line="288" w:lineRule="auto" w:after="40"/>
      </w:pPr>
      <w:r>
        <w:rPr>
          <w:rFonts w:ascii="Times New Roman" w:hAnsi="Times New Roman"/>
          <w:color w:val="000000"/>
          <w:sz w:val="22"/>
        </w:rPr>
        <w:t xml:space="preserve">   4.2 Restricción y Decoradores de Seguridad Verificados en el Servidor</w:t>
      </w:r>
      <w:r>
        <w:rPr>
          <w:rFonts w:ascii="Times New Roman" w:hAnsi="Times New Roman"/>
          <w:color w:val="787878"/>
          <w:sz w:val="22"/>
        </w:rPr>
        <w:t xml:space="preserve"> ..... </w:t>
      </w:r>
      <w:r>
        <w:rPr>
          <w:rFonts w:ascii="Times New Roman" w:hAnsi="Times New Roman"/>
          <w:b/>
          <w:color w:val="000000"/>
          <w:sz w:val="22"/>
        </w:rPr>
        <w:t>9</w:t>
      </w:r>
    </w:p>
    <w:p>
      <w:pPr>
        <w:spacing w:line="288" w:lineRule="auto" w:after="40"/>
      </w:pPr>
      <w:r>
        <w:rPr>
          <w:rFonts w:ascii="Times New Roman" w:hAnsi="Times New Roman"/>
          <w:color w:val="000000"/>
          <w:sz w:val="22"/>
        </w:rPr>
        <w:t xml:space="preserve">   4.3 Control de Inactividad de Cuentas Institucionales</w:t>
      </w:r>
      <w:r>
        <w:rPr>
          <w:rFonts w:ascii="Times New Roman" w:hAnsi="Times New Roman"/>
          <w:color w:val="787878"/>
          <w:sz w:val="22"/>
        </w:rPr>
        <w:t xml:space="preserve"> ................... </w:t>
      </w:r>
      <w:r>
        <w:rPr>
          <w:rFonts w:ascii="Times New Roman" w:hAnsi="Times New Roman"/>
          <w:b/>
          <w:color w:val="000000"/>
          <w:sz w:val="22"/>
        </w:rPr>
        <w:t>10</w:t>
      </w:r>
    </w:p>
    <w:p>
      <w:pPr>
        <w:spacing w:line="288" w:lineRule="auto" w:after="40"/>
      </w:pPr>
      <w:r>
        <w:rPr>
          <w:rFonts w:ascii="Times New Roman" w:hAnsi="Times New Roman"/>
          <w:color w:val="000000"/>
          <w:sz w:val="22"/>
        </w:rPr>
        <w:t>5. Módulo 2: Administración de Usuarios y Roles Configurables (RBAC)</w:t>
      </w:r>
      <w:r>
        <w:rPr>
          <w:rFonts w:ascii="Times New Roman" w:hAnsi="Times New Roman"/>
          <w:color w:val="787878"/>
          <w:sz w:val="22"/>
        </w:rPr>
        <w:t xml:space="preserve"> ....... </w:t>
      </w:r>
      <w:r>
        <w:rPr>
          <w:rFonts w:ascii="Times New Roman" w:hAnsi="Times New Roman"/>
          <w:b/>
          <w:color w:val="000000"/>
          <w:sz w:val="22"/>
        </w:rPr>
        <w:t>11</w:t>
      </w:r>
    </w:p>
    <w:p>
      <w:pPr>
        <w:spacing w:line="288" w:lineRule="auto" w:after="40"/>
      </w:pPr>
      <w:r>
        <w:rPr>
          <w:rFonts w:ascii="Times New Roman" w:hAnsi="Times New Roman"/>
          <w:color w:val="000000"/>
          <w:sz w:val="22"/>
        </w:rPr>
        <w:t xml:space="preserve">   5.1 Gestión de Cuentas de Usuario y Perfiles Académicos</w:t>
      </w:r>
      <w:r>
        <w:rPr>
          <w:rFonts w:ascii="Times New Roman" w:hAnsi="Times New Roman"/>
          <w:color w:val="787878"/>
          <w:sz w:val="22"/>
        </w:rPr>
        <w:t xml:space="preserve"> ................. </w:t>
      </w:r>
      <w:r>
        <w:rPr>
          <w:rFonts w:ascii="Times New Roman" w:hAnsi="Times New Roman"/>
          <w:b/>
          <w:color w:val="000000"/>
          <w:sz w:val="22"/>
        </w:rPr>
        <w:t>11</w:t>
      </w:r>
    </w:p>
    <w:p>
      <w:pPr>
        <w:spacing w:line="288" w:lineRule="auto" w:after="40"/>
      </w:pPr>
      <w:r>
        <w:rPr>
          <w:rFonts w:ascii="Times New Roman" w:hAnsi="Times New Roman"/>
          <w:color w:val="000000"/>
          <w:sz w:val="22"/>
        </w:rPr>
        <w:t xml:space="preserve">   5.2 Configuración Dinámica de Roles y Matriz de Permisos</w:t>
      </w:r>
      <w:r>
        <w:rPr>
          <w:rFonts w:ascii="Times New Roman" w:hAnsi="Times New Roman"/>
          <w:color w:val="787878"/>
          <w:sz w:val="22"/>
        </w:rPr>
        <w:t xml:space="preserve"> ................ </w:t>
      </w:r>
      <w:r>
        <w:rPr>
          <w:rFonts w:ascii="Times New Roman" w:hAnsi="Times New Roman"/>
          <w:b/>
          <w:color w:val="000000"/>
          <w:sz w:val="22"/>
        </w:rPr>
        <w:t>12</w:t>
      </w:r>
    </w:p>
    <w:p>
      <w:pPr>
        <w:spacing w:line="288" w:lineRule="auto" w:after="40"/>
      </w:pPr>
      <w:r>
        <w:rPr>
          <w:rFonts w:ascii="Times New Roman" w:hAnsi="Times New Roman"/>
          <w:color w:val="000000"/>
          <w:sz w:val="22"/>
        </w:rPr>
        <w:t xml:space="preserve">   5.3 Caso de Uso: Demostración del Rol Docente Evaluador</w:t>
      </w:r>
      <w:r>
        <w:rPr>
          <w:rFonts w:ascii="Times New Roman" w:hAnsi="Times New Roman"/>
          <w:color w:val="787878"/>
          <w:sz w:val="22"/>
        </w:rPr>
        <w:t xml:space="preserve"> ................. </w:t>
      </w:r>
      <w:r>
        <w:rPr>
          <w:rFonts w:ascii="Times New Roman" w:hAnsi="Times New Roman"/>
          <w:b/>
          <w:color w:val="000000"/>
          <w:sz w:val="22"/>
        </w:rPr>
        <w:t>13</w:t>
      </w:r>
    </w:p>
    <w:p>
      <w:pPr>
        <w:spacing w:line="288" w:lineRule="auto" w:after="40"/>
      </w:pPr>
      <w:r>
        <w:rPr>
          <w:rFonts w:ascii="Times New Roman" w:hAnsi="Times New Roman"/>
          <w:color w:val="000000"/>
          <w:sz w:val="22"/>
        </w:rPr>
        <w:t>6. Módulo 3: Banco de Preguntas y Clasificación Pedagógica</w:t>
      </w:r>
      <w:r>
        <w:rPr>
          <w:rFonts w:ascii="Times New Roman" w:hAnsi="Times New Roman"/>
          <w:color w:val="787878"/>
          <w:sz w:val="22"/>
        </w:rPr>
        <w:t xml:space="preserve"> ................. </w:t>
      </w:r>
      <w:r>
        <w:rPr>
          <w:rFonts w:ascii="Times New Roman" w:hAnsi="Times New Roman"/>
          <w:b/>
          <w:color w:val="000000"/>
          <w:sz w:val="22"/>
        </w:rPr>
        <w:t>14</w:t>
      </w:r>
    </w:p>
    <w:p>
      <w:pPr>
        <w:spacing w:line="288" w:lineRule="auto" w:after="40"/>
      </w:pPr>
      <w:r>
        <w:rPr>
          <w:rFonts w:ascii="Times New Roman" w:hAnsi="Times New Roman"/>
          <w:color w:val="000000"/>
          <w:sz w:val="22"/>
        </w:rPr>
        <w:t xml:space="preserve">   6.1 Organización por Competencias Oficiales Saber TyT</w:t>
      </w:r>
      <w:r>
        <w:rPr>
          <w:rFonts w:ascii="Times New Roman" w:hAnsi="Times New Roman"/>
          <w:color w:val="787878"/>
          <w:sz w:val="22"/>
        </w:rPr>
        <w:t xml:space="preserve"> ................... </w:t>
      </w:r>
      <w:r>
        <w:rPr>
          <w:rFonts w:ascii="Times New Roman" w:hAnsi="Times New Roman"/>
          <w:b/>
          <w:color w:val="000000"/>
          <w:sz w:val="22"/>
        </w:rPr>
        <w:t>14</w:t>
      </w:r>
    </w:p>
    <w:p>
      <w:pPr>
        <w:spacing w:line="288" w:lineRule="auto" w:after="40"/>
      </w:pPr>
      <w:r>
        <w:rPr>
          <w:rFonts w:ascii="Times New Roman" w:hAnsi="Times New Roman"/>
          <w:color w:val="000000"/>
          <w:sz w:val="22"/>
        </w:rPr>
        <w:t xml:space="preserve">   6.2 Operaciones CRUD: Registro, Consulta, Edición y Activación</w:t>
      </w:r>
      <w:r>
        <w:rPr>
          <w:rFonts w:ascii="Times New Roman" w:hAnsi="Times New Roman"/>
          <w:color w:val="787878"/>
          <w:sz w:val="22"/>
        </w:rPr>
        <w:t xml:space="preserve"> .......... </w:t>
      </w:r>
      <w:r>
        <w:rPr>
          <w:rFonts w:ascii="Times New Roman" w:hAnsi="Times New Roman"/>
          <w:b/>
          <w:color w:val="000000"/>
          <w:sz w:val="22"/>
        </w:rPr>
        <w:t>15</w:t>
      </w:r>
    </w:p>
    <w:p>
      <w:pPr>
        <w:spacing w:line="288" w:lineRule="auto" w:after="40"/>
      </w:pPr>
      <w:r>
        <w:rPr>
          <w:rFonts w:ascii="Times New Roman" w:hAnsi="Times New Roman"/>
          <w:color w:val="000000"/>
          <w:sz w:val="22"/>
        </w:rPr>
        <w:t xml:space="preserve">   6.3 Prevención de Duplicados Mediante Huella Digital SHA-256</w:t>
      </w:r>
      <w:r>
        <w:rPr>
          <w:rFonts w:ascii="Times New Roman" w:hAnsi="Times New Roman"/>
          <w:color w:val="787878"/>
          <w:sz w:val="22"/>
        </w:rPr>
        <w:t xml:space="preserve"> ............ </w:t>
      </w:r>
      <w:r>
        <w:rPr>
          <w:rFonts w:ascii="Times New Roman" w:hAnsi="Times New Roman"/>
          <w:b/>
          <w:color w:val="000000"/>
          <w:sz w:val="22"/>
        </w:rPr>
        <w:t>16</w:t>
      </w:r>
    </w:p>
    <w:p>
      <w:pPr>
        <w:spacing w:line="288" w:lineRule="auto" w:after="40"/>
      </w:pPr>
      <w:r>
        <w:rPr>
          <w:rFonts w:ascii="Times New Roman" w:hAnsi="Times New Roman"/>
          <w:color w:val="000000"/>
          <w:sz w:val="22"/>
        </w:rPr>
        <w:t>7. Módulo 4: Importación Masiva de Reactivos desde Excel</w:t>
      </w:r>
      <w:r>
        <w:rPr>
          <w:rFonts w:ascii="Times New Roman" w:hAnsi="Times New Roman"/>
          <w:color w:val="787878"/>
          <w:sz w:val="22"/>
        </w:rPr>
        <w:t xml:space="preserve"> ................... </w:t>
      </w:r>
      <w:r>
        <w:rPr>
          <w:rFonts w:ascii="Times New Roman" w:hAnsi="Times New Roman"/>
          <w:b/>
          <w:color w:val="000000"/>
          <w:sz w:val="22"/>
        </w:rPr>
        <w:t>17</w:t>
      </w:r>
    </w:p>
    <w:p>
      <w:pPr>
        <w:spacing w:line="288" w:lineRule="auto" w:after="40"/>
      </w:pPr>
      <w:r>
        <w:rPr>
          <w:rFonts w:ascii="Times New Roman" w:hAnsi="Times New Roman"/>
          <w:color w:val="000000"/>
          <w:sz w:val="22"/>
        </w:rPr>
        <w:t xml:space="preserve">   7.1 Estructura de la Plantilla Reglamentaria y Mapeo</w:t>
      </w:r>
      <w:r>
        <w:rPr>
          <w:rFonts w:ascii="Times New Roman" w:hAnsi="Times New Roman"/>
          <w:color w:val="787878"/>
          <w:sz w:val="22"/>
        </w:rPr>
        <w:t xml:space="preserve"> .................... </w:t>
      </w:r>
      <w:r>
        <w:rPr>
          <w:rFonts w:ascii="Times New Roman" w:hAnsi="Times New Roman"/>
          <w:b/>
          <w:color w:val="000000"/>
          <w:sz w:val="22"/>
        </w:rPr>
        <w:t>17</w:t>
      </w:r>
    </w:p>
    <w:p>
      <w:pPr>
        <w:spacing w:line="288" w:lineRule="auto" w:after="40"/>
      </w:pPr>
      <w:r>
        <w:rPr>
          <w:rFonts w:ascii="Times New Roman" w:hAnsi="Times New Roman"/>
          <w:color w:val="000000"/>
          <w:sz w:val="22"/>
        </w:rPr>
        <w:t xml:space="preserve">   7.2 Algoritmo de Validación Atómica en Dos Fases</w:t>
      </w:r>
      <w:r>
        <w:rPr>
          <w:rFonts w:ascii="Times New Roman" w:hAnsi="Times New Roman"/>
          <w:color w:val="787878"/>
          <w:sz w:val="22"/>
        </w:rPr>
        <w:t xml:space="preserve"> ........................ </w:t>
      </w:r>
      <w:r>
        <w:rPr>
          <w:rFonts w:ascii="Times New Roman" w:hAnsi="Times New Roman"/>
          <w:b/>
          <w:color w:val="000000"/>
          <w:sz w:val="22"/>
        </w:rPr>
        <w:t>18</w:t>
      </w:r>
    </w:p>
    <w:p>
      <w:pPr>
        <w:spacing w:line="288" w:lineRule="auto" w:after="40"/>
      </w:pPr>
      <w:r>
        <w:rPr>
          <w:rFonts w:ascii="Times New Roman" w:hAnsi="Times New Roman"/>
          <w:color w:val="000000"/>
          <w:sz w:val="22"/>
        </w:rPr>
        <w:t>8. Módulo 5: Parametrización y Disponibilidad de Cuestionarios</w:t>
      </w:r>
      <w:r>
        <w:rPr>
          <w:rFonts w:ascii="Times New Roman" w:hAnsi="Times New Roman"/>
          <w:color w:val="787878"/>
          <w:sz w:val="22"/>
        </w:rPr>
        <w:t xml:space="preserve"> ............. </w:t>
      </w:r>
      <w:r>
        <w:rPr>
          <w:rFonts w:ascii="Times New Roman" w:hAnsi="Times New Roman"/>
          <w:b/>
          <w:color w:val="000000"/>
          <w:sz w:val="22"/>
        </w:rPr>
        <w:t>19</w:t>
      </w:r>
    </w:p>
    <w:p>
      <w:pPr>
        <w:spacing w:line="288" w:lineRule="auto" w:after="40"/>
      </w:pPr>
      <w:r>
        <w:rPr>
          <w:rFonts w:ascii="Times New Roman" w:hAnsi="Times New Roman"/>
          <w:color w:val="000000"/>
          <w:sz w:val="22"/>
        </w:rPr>
        <w:t xml:space="preserve">   8.1 Creación y Asociación Ponderada de Reactivos</w:t>
      </w:r>
      <w:r>
        <w:rPr>
          <w:rFonts w:ascii="Times New Roman" w:hAnsi="Times New Roman"/>
          <w:color w:val="787878"/>
          <w:sz w:val="22"/>
        </w:rPr>
        <w:t xml:space="preserve"> ........................ </w:t>
      </w:r>
      <w:r>
        <w:rPr>
          <w:rFonts w:ascii="Times New Roman" w:hAnsi="Times New Roman"/>
          <w:b/>
          <w:color w:val="000000"/>
          <w:sz w:val="22"/>
        </w:rPr>
        <w:t>19</w:t>
      </w:r>
    </w:p>
    <w:p>
      <w:pPr>
        <w:spacing w:line="288" w:lineRule="auto" w:after="40"/>
      </w:pPr>
      <w:r>
        <w:rPr>
          <w:rFonts w:ascii="Times New Roman" w:hAnsi="Times New Roman"/>
          <w:color w:val="000000"/>
          <w:sz w:val="22"/>
        </w:rPr>
        <w:t xml:space="preserve">   8.2 Validación Estricta de Temporalidad e Intentos en Backend</w:t>
      </w:r>
      <w:r>
        <w:rPr>
          <w:rFonts w:ascii="Times New Roman" w:hAnsi="Times New Roman"/>
          <w:color w:val="787878"/>
          <w:sz w:val="22"/>
        </w:rPr>
        <w:t xml:space="preserve"> ........... </w:t>
      </w:r>
      <w:r>
        <w:rPr>
          <w:rFonts w:ascii="Times New Roman" w:hAnsi="Times New Roman"/>
          <w:b/>
          <w:color w:val="000000"/>
          <w:sz w:val="22"/>
        </w:rPr>
        <w:t>20</w:t>
      </w:r>
    </w:p>
    <w:p>
      <w:pPr>
        <w:spacing w:line="288" w:lineRule="auto" w:after="40"/>
      </w:pPr>
      <w:r>
        <w:rPr>
          <w:rFonts w:ascii="Times New Roman" w:hAnsi="Times New Roman"/>
          <w:color w:val="000000"/>
          <w:sz w:val="22"/>
        </w:rPr>
        <w:t>9. Módulo 6: Presentación de la Prueba en Vivo y Calificación</w:t>
      </w:r>
      <w:r>
        <w:rPr>
          <w:rFonts w:ascii="Times New Roman" w:hAnsi="Times New Roman"/>
          <w:color w:val="787878"/>
          <w:sz w:val="22"/>
        </w:rPr>
        <w:t xml:space="preserve"> .............. </w:t>
      </w:r>
      <w:r>
        <w:rPr>
          <w:rFonts w:ascii="Times New Roman" w:hAnsi="Times New Roman"/>
          <w:b/>
          <w:color w:val="000000"/>
          <w:sz w:val="22"/>
        </w:rPr>
        <w:t>21</w:t>
      </w:r>
    </w:p>
    <w:p>
      <w:pPr>
        <w:spacing w:line="288" w:lineRule="auto" w:after="40"/>
      </w:pPr>
      <w:r>
        <w:rPr>
          <w:rFonts w:ascii="Times New Roman" w:hAnsi="Times New Roman"/>
          <w:color w:val="000000"/>
          <w:sz w:val="22"/>
        </w:rPr>
        <w:t xml:space="preserve">   9.1 Experiencia Interactiva del Estudiante y Temporizador</w:t>
      </w:r>
      <w:r>
        <w:rPr>
          <w:rFonts w:ascii="Times New Roman" w:hAnsi="Times New Roman"/>
          <w:color w:val="787878"/>
          <w:sz w:val="22"/>
        </w:rPr>
        <w:t xml:space="preserve"> ............... </w:t>
      </w:r>
      <w:r>
        <w:rPr>
          <w:rFonts w:ascii="Times New Roman" w:hAnsi="Times New Roman"/>
          <w:b/>
          <w:color w:val="000000"/>
          <w:sz w:val="22"/>
        </w:rPr>
        <w:t>21</w:t>
      </w:r>
    </w:p>
    <w:p>
      <w:pPr>
        <w:spacing w:line="288" w:lineRule="auto" w:after="40"/>
      </w:pPr>
      <w:r>
        <w:rPr>
          <w:rFonts w:ascii="Times New Roman" w:hAnsi="Times New Roman"/>
          <w:color w:val="000000"/>
          <w:sz w:val="22"/>
        </w:rPr>
        <w:t xml:space="preserve">   9.2 Protección Antifraude y Ocultamiento de Respuestas Correctas</w:t>
      </w:r>
      <w:r>
        <w:rPr>
          <w:rFonts w:ascii="Times New Roman" w:hAnsi="Times New Roman"/>
          <w:color w:val="787878"/>
          <w:sz w:val="22"/>
        </w:rPr>
        <w:t xml:space="preserve"> ........ </w:t>
      </w:r>
      <w:r>
        <w:rPr>
          <w:rFonts w:ascii="Times New Roman" w:hAnsi="Times New Roman"/>
          <w:b/>
          <w:color w:val="000000"/>
          <w:sz w:val="22"/>
        </w:rPr>
        <w:t>22</w:t>
      </w:r>
    </w:p>
    <w:p>
      <w:pPr>
        <w:spacing w:line="288" w:lineRule="auto" w:after="40"/>
      </w:pPr>
      <w:r>
        <w:rPr>
          <w:rFonts w:ascii="Times New Roman" w:hAnsi="Times New Roman"/>
          <w:color w:val="000000"/>
          <w:sz w:val="22"/>
        </w:rPr>
        <w:t xml:space="preserve">   9.3 Algoritmo de Calificación Automática y Aislamiento de Intentos</w:t>
      </w:r>
      <w:r>
        <w:rPr>
          <w:rFonts w:ascii="Times New Roman" w:hAnsi="Times New Roman"/>
          <w:color w:val="787878"/>
          <w:sz w:val="22"/>
        </w:rPr>
        <w:t xml:space="preserve"> ...... </w:t>
      </w:r>
      <w:r>
        <w:rPr>
          <w:rFonts w:ascii="Times New Roman" w:hAnsi="Times New Roman"/>
          <w:b/>
          <w:color w:val="000000"/>
          <w:sz w:val="22"/>
        </w:rPr>
        <w:t>23</w:t>
      </w:r>
    </w:p>
    <w:p>
      <w:pPr>
        <w:spacing w:line="288" w:lineRule="auto" w:after="40"/>
      </w:pPr>
      <w:r>
        <w:rPr>
          <w:rFonts w:ascii="Times New Roman" w:hAnsi="Times New Roman"/>
          <w:color w:val="000000"/>
          <w:sz w:val="22"/>
        </w:rPr>
        <w:t>10. Matriz de Cumplimiento de la Rúbrica Evaluativa</w:t>
      </w:r>
      <w:r>
        <w:rPr>
          <w:rFonts w:ascii="Times New Roman" w:hAnsi="Times New Roman"/>
          <w:color w:val="787878"/>
          <w:sz w:val="22"/>
        </w:rPr>
        <w:t xml:space="preserve"> ........................ </w:t>
      </w:r>
      <w:r>
        <w:rPr>
          <w:rFonts w:ascii="Times New Roman" w:hAnsi="Times New Roman"/>
          <w:b/>
          <w:color w:val="000000"/>
          <w:sz w:val="22"/>
        </w:rPr>
        <w:t>24</w:t>
      </w:r>
    </w:p>
    <w:p>
      <w:pPr>
        <w:spacing w:line="288" w:lineRule="auto" w:after="40"/>
      </w:pPr>
      <w:r>
        <w:rPr>
          <w:rFonts w:ascii="Times New Roman" w:hAnsi="Times New Roman"/>
          <w:color w:val="000000"/>
          <w:sz w:val="22"/>
        </w:rPr>
        <w:t>11. Conclusiones y Recomendaciones</w:t>
      </w:r>
      <w:r>
        <w:rPr>
          <w:rFonts w:ascii="Times New Roman" w:hAnsi="Times New Roman"/>
          <w:color w:val="787878"/>
          <w:sz w:val="22"/>
        </w:rPr>
        <w:t xml:space="preserve"> ......................................... </w:t>
      </w:r>
      <w:r>
        <w:rPr>
          <w:rFonts w:ascii="Times New Roman" w:hAnsi="Times New Roman"/>
          <w:b/>
          <w:color w:val="000000"/>
          <w:sz w:val="22"/>
        </w:rPr>
        <w:t>25</w:t>
      </w:r>
    </w:p>
    <w:p>
      <w:pPr>
        <w:spacing w:line="288" w:lineRule="auto" w:after="40"/>
      </w:pPr>
      <w:r>
        <w:rPr>
          <w:rFonts w:ascii="Times New Roman" w:hAnsi="Times New Roman"/>
          <w:color w:val="000000"/>
          <w:sz w:val="22"/>
        </w:rPr>
        <w:t>12. Referencias Bibliográficas</w:t>
      </w:r>
      <w:r>
        <w:rPr>
          <w:rFonts w:ascii="Times New Roman" w:hAnsi="Times New Roman"/>
          <w:color w:val="787878"/>
          <w:sz w:val="22"/>
        </w:rPr>
        <w:t xml:space="preserve"> ............................................. </w:t>
      </w:r>
      <w:r>
        <w:rPr>
          <w:rFonts w:ascii="Times New Roman" w:hAnsi="Times New Roman"/>
          <w:b/>
          <w:color w:val="000000"/>
          <w:sz w:val="22"/>
        </w:rPr>
        <w:t>26</w:t>
      </w:r>
    </w:p>
    <w:p>
      <w:r>
        <w:br w:type="page"/>
      </w:r>
    </w:p>
    <w:p>
      <w:pPr>
        <w:spacing w:before="240" w:after="120" w:line="360" w:lineRule="auto"/>
        <w:jc w:val="center"/>
      </w:pPr>
      <w:r>
        <w:rPr>
          <w:rFonts w:ascii="Times New Roman" w:hAnsi="Times New Roman"/>
          <w:b/>
          <w:color w:val="000000"/>
          <w:sz w:val="28"/>
        </w:rPr>
        <w:t>Índice de Figuras</w:t>
      </w:r>
    </w:p>
    <w:p>
      <w:pPr>
        <w:spacing w:line="288" w:lineRule="auto" w:after="60"/>
      </w:pPr>
      <w:r>
        <w:rPr>
          <w:rFonts w:ascii="Times New Roman" w:hAnsi="Times New Roman"/>
          <w:color w:val="000000"/>
          <w:sz w:val="22"/>
        </w:rPr>
        <w:t>Figura 1. Portada e Interfaz Pública del Simulador Saber TyT</w:t>
      </w:r>
      <w:r>
        <w:rPr>
          <w:rFonts w:ascii="Times New Roman" w:hAnsi="Times New Roman"/>
          <w:color w:val="787878"/>
          <w:sz w:val="22"/>
        </w:rPr>
        <w:t xml:space="preserve"> .................. </w:t>
      </w:r>
      <w:r>
        <w:rPr>
          <w:rFonts w:ascii="Times New Roman" w:hAnsi="Times New Roman"/>
          <w:b/>
          <w:color w:val="000000"/>
          <w:sz w:val="22"/>
        </w:rPr>
        <w:t>5</w:t>
      </w:r>
    </w:p>
    <w:p>
      <w:pPr>
        <w:spacing w:line="288" w:lineRule="auto" w:after="60"/>
      </w:pPr>
      <w:r>
        <w:rPr>
          <w:rFonts w:ascii="Times New Roman" w:hAnsi="Times New Roman"/>
          <w:color w:val="000000"/>
          <w:sz w:val="22"/>
        </w:rPr>
        <w:t>Figura 2. Interfaz de Inicio de Sesión Institucional con Validación JWT</w:t>
      </w:r>
      <w:r>
        <w:rPr>
          <w:rFonts w:ascii="Times New Roman" w:hAnsi="Times New Roman"/>
          <w:color w:val="787878"/>
          <w:sz w:val="22"/>
        </w:rPr>
        <w:t xml:space="preserve"> ....... </w:t>
      </w:r>
      <w:r>
        <w:rPr>
          <w:rFonts w:ascii="Times New Roman" w:hAnsi="Times New Roman"/>
          <w:b/>
          <w:color w:val="000000"/>
          <w:sz w:val="22"/>
        </w:rPr>
        <w:t>6</w:t>
      </w:r>
    </w:p>
    <w:p>
      <w:pPr>
        <w:spacing w:line="288" w:lineRule="auto" w:after="60"/>
      </w:pPr>
      <w:r>
        <w:rPr>
          <w:rFonts w:ascii="Times New Roman" w:hAnsi="Times New Roman"/>
          <w:color w:val="000000"/>
          <w:sz w:val="22"/>
        </w:rPr>
        <w:t>Figura 3. Panel de Control de Administración con Métricas y Accesos Rápidos</w:t>
      </w:r>
      <w:r>
        <w:rPr>
          <w:rFonts w:ascii="Times New Roman" w:hAnsi="Times New Roman"/>
          <w:color w:val="787878"/>
          <w:sz w:val="22"/>
        </w:rPr>
        <w:t xml:space="preserve"> ..... </w:t>
      </w:r>
      <w:r>
        <w:rPr>
          <w:rFonts w:ascii="Times New Roman" w:hAnsi="Times New Roman"/>
          <w:b/>
          <w:color w:val="000000"/>
          <w:sz w:val="22"/>
        </w:rPr>
        <w:t>7</w:t>
      </w:r>
    </w:p>
    <w:p>
      <w:pPr>
        <w:spacing w:line="288" w:lineRule="auto" w:after="60"/>
      </w:pPr>
      <w:r>
        <w:rPr>
          <w:rFonts w:ascii="Times New Roman" w:hAnsi="Times New Roman"/>
          <w:color w:val="000000"/>
          <w:sz w:val="22"/>
        </w:rPr>
        <w:t>Figura 4. Módulo de Gestión de Usuarios y Filtros Institucionales</w:t>
      </w:r>
      <w:r>
        <w:rPr>
          <w:rFonts w:ascii="Times New Roman" w:hAnsi="Times New Roman"/>
          <w:color w:val="787878"/>
          <w:sz w:val="22"/>
        </w:rPr>
        <w:t xml:space="preserve"> ............. </w:t>
      </w:r>
      <w:r>
        <w:rPr>
          <w:rFonts w:ascii="Times New Roman" w:hAnsi="Times New Roman"/>
          <w:b/>
          <w:color w:val="000000"/>
          <w:sz w:val="22"/>
        </w:rPr>
        <w:t>9</w:t>
      </w:r>
    </w:p>
    <w:p>
      <w:pPr>
        <w:spacing w:line="288" w:lineRule="auto" w:after="60"/>
      </w:pPr>
      <w:r>
        <w:rPr>
          <w:rFonts w:ascii="Times New Roman" w:hAnsi="Times New Roman"/>
          <w:color w:val="000000"/>
          <w:sz w:val="22"/>
        </w:rPr>
        <w:t>Figura 5. Modal Interactivo para Edición de Usuario Institucional</w:t>
      </w:r>
      <w:r>
        <w:rPr>
          <w:rFonts w:ascii="Times New Roman" w:hAnsi="Times New Roman"/>
          <w:color w:val="787878"/>
          <w:sz w:val="22"/>
        </w:rPr>
        <w:t xml:space="preserve"> ............. </w:t>
      </w:r>
      <w:r>
        <w:rPr>
          <w:rFonts w:ascii="Times New Roman" w:hAnsi="Times New Roman"/>
          <w:b/>
          <w:color w:val="000000"/>
          <w:sz w:val="22"/>
        </w:rPr>
        <w:t>10</w:t>
      </w:r>
    </w:p>
    <w:p>
      <w:pPr>
        <w:spacing w:line="288" w:lineRule="auto" w:after="60"/>
      </w:pPr>
      <w:r>
        <w:rPr>
          <w:rFonts w:ascii="Times New Roman" w:hAnsi="Times New Roman"/>
          <w:color w:val="000000"/>
          <w:sz w:val="22"/>
        </w:rPr>
        <w:t>Figura 6. Configuración de Roles y Asignación Granular de Permisos</w:t>
      </w:r>
      <w:r>
        <w:rPr>
          <w:rFonts w:ascii="Times New Roman" w:hAnsi="Times New Roman"/>
          <w:color w:val="787878"/>
          <w:sz w:val="22"/>
        </w:rPr>
        <w:t xml:space="preserve"> ............ </w:t>
      </w:r>
      <w:r>
        <w:rPr>
          <w:rFonts w:ascii="Times New Roman" w:hAnsi="Times New Roman"/>
          <w:b/>
          <w:color w:val="000000"/>
          <w:sz w:val="22"/>
        </w:rPr>
        <w:t>11</w:t>
      </w:r>
    </w:p>
    <w:p>
      <w:pPr>
        <w:spacing w:line="288" w:lineRule="auto" w:after="60"/>
      </w:pPr>
      <w:r>
        <w:rPr>
          <w:rFonts w:ascii="Times New Roman" w:hAnsi="Times New Roman"/>
          <w:color w:val="000000"/>
          <w:sz w:val="22"/>
        </w:rPr>
        <w:t>Figura 7. Banco de Preguntas con Filtros por Competencia y Tipo</w:t>
      </w:r>
      <w:r>
        <w:rPr>
          <w:rFonts w:ascii="Times New Roman" w:hAnsi="Times New Roman"/>
          <w:color w:val="787878"/>
          <w:sz w:val="22"/>
        </w:rPr>
        <w:t xml:space="preserve"> ............... </w:t>
      </w:r>
      <w:r>
        <w:rPr>
          <w:rFonts w:ascii="Times New Roman" w:hAnsi="Times New Roman"/>
          <w:b/>
          <w:color w:val="000000"/>
          <w:sz w:val="22"/>
        </w:rPr>
        <w:t>13</w:t>
      </w:r>
    </w:p>
    <w:p>
      <w:pPr>
        <w:spacing w:line="288" w:lineRule="auto" w:after="60"/>
      </w:pPr>
      <w:r>
        <w:rPr>
          <w:rFonts w:ascii="Times New Roman" w:hAnsi="Times New Roman"/>
          <w:color w:val="000000"/>
          <w:sz w:val="22"/>
        </w:rPr>
        <w:t>Figura 8. Modal de Edición de Reactivo con Recálculo de Huella SHA-256</w:t>
      </w:r>
      <w:r>
        <w:rPr>
          <w:rFonts w:ascii="Times New Roman" w:hAnsi="Times New Roman"/>
          <w:color w:val="787878"/>
          <w:sz w:val="22"/>
        </w:rPr>
        <w:t xml:space="preserve"> ........ </w:t>
      </w:r>
      <w:r>
        <w:rPr>
          <w:rFonts w:ascii="Times New Roman" w:hAnsi="Times New Roman"/>
          <w:b/>
          <w:color w:val="000000"/>
          <w:sz w:val="22"/>
        </w:rPr>
        <w:t>14</w:t>
      </w:r>
    </w:p>
    <w:p>
      <w:pPr>
        <w:spacing w:line="288" w:lineRule="auto" w:after="60"/>
      </w:pPr>
      <w:r>
        <w:rPr>
          <w:rFonts w:ascii="Times New Roman" w:hAnsi="Times New Roman"/>
          <w:color w:val="000000"/>
          <w:sz w:val="22"/>
        </w:rPr>
        <w:t>Figura 9. Interfaz de Importación Masiva de Preguntas desde Excel</w:t>
      </w:r>
      <w:r>
        <w:rPr>
          <w:rFonts w:ascii="Times New Roman" w:hAnsi="Times New Roman"/>
          <w:color w:val="787878"/>
          <w:sz w:val="22"/>
        </w:rPr>
        <w:t xml:space="preserve"> ............. </w:t>
      </w:r>
      <w:r>
        <w:rPr>
          <w:rFonts w:ascii="Times New Roman" w:hAnsi="Times New Roman"/>
          <w:b/>
          <w:color w:val="000000"/>
          <w:sz w:val="22"/>
        </w:rPr>
        <w:t>16</w:t>
      </w:r>
    </w:p>
    <w:p>
      <w:pPr>
        <w:spacing w:line="288" w:lineRule="auto" w:after="60"/>
      </w:pPr>
      <w:r>
        <w:rPr>
          <w:rFonts w:ascii="Times New Roman" w:hAnsi="Times New Roman"/>
          <w:color w:val="000000"/>
          <w:sz w:val="22"/>
        </w:rPr>
        <w:t>Figura 10. Configuración Reglamentaria de Cuestionario y Preguntas Asignadas</w:t>
      </w:r>
      <w:r>
        <w:rPr>
          <w:rFonts w:ascii="Times New Roman" w:hAnsi="Times New Roman"/>
          <w:color w:val="787878"/>
          <w:sz w:val="22"/>
        </w:rPr>
        <w:t xml:space="preserve"> ..... </w:t>
      </w:r>
      <w:r>
        <w:rPr>
          <w:rFonts w:ascii="Times New Roman" w:hAnsi="Times New Roman"/>
          <w:b/>
          <w:color w:val="000000"/>
          <w:sz w:val="22"/>
        </w:rPr>
        <w:t>18</w:t>
      </w:r>
    </w:p>
    <w:p>
      <w:pPr>
        <w:spacing w:line="288" w:lineRule="auto" w:after="60"/>
      </w:pPr>
      <w:r>
        <w:rPr>
          <w:rFonts w:ascii="Times New Roman" w:hAnsi="Times New Roman"/>
          <w:color w:val="000000"/>
          <w:sz w:val="22"/>
        </w:rPr>
        <w:t>Figura 11. Dashboard del Estudiante con Cuestionarios Disponibles y Estadísticas</w:t>
      </w:r>
      <w:r>
        <w:rPr>
          <w:rFonts w:ascii="Times New Roman" w:hAnsi="Times New Roman"/>
          <w:color w:val="787878"/>
          <w:sz w:val="22"/>
        </w:rPr>
        <w:t xml:space="preserve"> ..... </w:t>
      </w:r>
      <w:r>
        <w:rPr>
          <w:rFonts w:ascii="Times New Roman" w:hAnsi="Times New Roman"/>
          <w:b/>
          <w:color w:val="000000"/>
          <w:sz w:val="22"/>
        </w:rPr>
        <w:t>20</w:t>
      </w:r>
    </w:p>
    <w:p>
      <w:pPr>
        <w:spacing w:line="288" w:lineRule="auto" w:after="60"/>
      </w:pPr>
      <w:r>
        <w:rPr>
          <w:rFonts w:ascii="Times New Roman" w:hAnsi="Times New Roman"/>
          <w:color w:val="000000"/>
          <w:sz w:val="22"/>
        </w:rPr>
        <w:t>Figura 12. Reproductor de Evaluación en Vivo con Temporizador Digital Regresivo</w:t>
      </w:r>
      <w:r>
        <w:rPr>
          <w:rFonts w:ascii="Times New Roman" w:hAnsi="Times New Roman"/>
          <w:color w:val="787878"/>
          <w:sz w:val="22"/>
        </w:rPr>
        <w:t xml:space="preserve"> ..... </w:t>
      </w:r>
      <w:r>
        <w:rPr>
          <w:rFonts w:ascii="Times New Roman" w:hAnsi="Times New Roman"/>
          <w:b/>
          <w:color w:val="000000"/>
          <w:sz w:val="22"/>
        </w:rPr>
        <w:t>21</w:t>
      </w:r>
    </w:p>
    <w:p>
      <w:pPr>
        <w:spacing w:line="288" w:lineRule="auto" w:after="60"/>
      </w:pPr>
      <w:r>
        <w:rPr>
          <w:rFonts w:ascii="Times New Roman" w:hAnsi="Times New Roman"/>
          <w:color w:val="000000"/>
          <w:sz w:val="22"/>
        </w:rPr>
        <w:t>Figura 13. Resultado y Calificación Automática Obtenida en Django</w:t>
      </w:r>
      <w:r>
        <w:rPr>
          <w:rFonts w:ascii="Times New Roman" w:hAnsi="Times New Roman"/>
          <w:color w:val="787878"/>
          <w:sz w:val="22"/>
        </w:rPr>
        <w:t xml:space="preserve"> ............. </w:t>
      </w:r>
      <w:r>
        <w:rPr>
          <w:rFonts w:ascii="Times New Roman" w:hAnsi="Times New Roman"/>
          <w:b/>
          <w:color w:val="000000"/>
          <w:sz w:val="22"/>
        </w:rPr>
        <w:t>23</w:t>
      </w:r>
    </w:p>
    <w:p>
      <w:pPr>
        <w:spacing w:line="288" w:lineRule="auto" w:after="60"/>
      </w:pPr>
      <w:r>
        <w:rPr>
          <w:rFonts w:ascii="Times New Roman" w:hAnsi="Times New Roman"/>
          <w:color w:val="000000"/>
          <w:sz w:val="22"/>
        </w:rPr>
        <w:t>Figura 14. Verificación de Seguridad en Servidor: Error 403 Acceso Denegado</w:t>
      </w:r>
      <w:r>
        <w:rPr>
          <w:rFonts w:ascii="Times New Roman" w:hAnsi="Times New Roman"/>
          <w:color w:val="787878"/>
          <w:sz w:val="22"/>
        </w:rPr>
        <w:t xml:space="preserve"> ..... </w:t>
      </w:r>
      <w:r>
        <w:rPr>
          <w:rFonts w:ascii="Times New Roman" w:hAnsi="Times New Roman"/>
          <w:b/>
          <w:color w:val="000000"/>
          <w:sz w:val="22"/>
        </w:rPr>
        <w:t>24</w:t>
      </w:r>
    </w:p>
    <w:p>
      <w:r>
        <w:br w:type="page"/>
      </w:r>
    </w:p>
    <w:p>
      <w:pPr>
        <w:spacing w:before="240" w:after="120" w:line="360" w:lineRule="auto"/>
        <w:jc w:val="center"/>
      </w:pPr>
      <w:r>
        <w:rPr>
          <w:rFonts w:ascii="Times New Roman" w:hAnsi="Times New Roman"/>
          <w:b/>
          <w:color w:val="000000"/>
          <w:sz w:val="28"/>
        </w:rPr>
        <w:t>1. Introducción y Contexto Institucional</w:t>
      </w:r>
    </w:p>
    <w:p>
      <w:pPr>
        <w:spacing w:line="360" w:lineRule="auto" w:after="120" w:before="0"/>
        <w:ind w:firstLine="720"/>
        <w:jc w:val="both"/>
      </w:pPr>
      <w:r>
        <w:rPr>
          <w:rFonts w:ascii="Times New Roman" w:hAnsi="Times New Roman"/>
          <w:color w:val="000000"/>
          <w:sz w:val="24"/>
        </w:rPr>
        <w:t>Las pruebas de Estado para la Calidad de la Educación Superior en los niveles técnico profesional y tecnológico (Saber TyT), reguladas por el Instituto Colombiano para la Evaluación de la Educación (ICFES), constituyen el instrumento estandarizado nacional que evalúa las competencias genéricas y específicas de los futuros egresados universitarios. En concordancia con los planes de mejoramiento continuo del Programa de Ingeniería de Sistemas de la Institución Universitaria del Putumayo (IUP), resulta prioritario proveer a la comunidad académica una solución tecnológica robusta, confiable y segura que replique de manera fidedigna las condiciones del examen real, facilite el entrenamiento progresivo de los estudiantes y brinde a los docentes herramientas analíticas para la gestión pedagógica de reactivos.</w:t>
      </w:r>
    </w:p>
    <w:p>
      <w:pPr>
        <w:spacing w:line="360" w:lineRule="auto" w:after="120" w:before="0"/>
        <w:ind w:firstLine="720"/>
        <w:jc w:val="both"/>
      </w:pPr>
      <w:r>
        <w:rPr>
          <w:rFonts w:ascii="Times New Roman" w:hAnsi="Times New Roman"/>
          <w:color w:val="000000"/>
          <w:sz w:val="24"/>
        </w:rPr>
        <w:t>El presente desarrollo corresponde a la entrega evaluativa del Segundo Parcial de la asignatura Electiva Profesional III – Frameworks de Aplicaciones Web. Dando continuidad al proyecto progresivo que inició con el diseño de la base de datos relacional y el prototipado navegable interactivo, se consolida la implementación completa del sistema utilizando el framework de desarrollo backend Django (versión 6.1.2), el gestor de bases de datos relacionales MariaDB/MySQL, el estándar de autenticación desacoplada JSON Web Tokens (RFC 7519) y un diseño visual ergonómico optimizado con Vanilla CSS bajo estándares modernos de experiencia de usuario.</w:t>
      </w:r>
    </w:p>
    <w:p>
      <w:pPr>
        <w:spacing w:before="240" w:after="40" w:line="276" w:lineRule="auto"/>
        <w:ind w:firstLine="0"/>
      </w:pPr>
      <w:r>
        <w:rPr>
          <w:rFonts w:ascii="Times New Roman" w:hAnsi="Times New Roman"/>
          <w:b/>
          <w:color w:val="000000"/>
          <w:sz w:val="22"/>
        </w:rPr>
        <w:t>Figura 1</w:t>
      </w:r>
    </w:p>
    <w:p>
      <w:pPr>
        <w:spacing w:before="0" w:after="120" w:line="276" w:lineRule="auto"/>
        <w:ind w:firstLine="0"/>
      </w:pPr>
      <w:r>
        <w:rPr>
          <w:rFonts w:ascii="Times New Roman" w:hAnsi="Times New Roman"/>
          <w:i/>
          <w:color w:val="000000"/>
          <w:sz w:val="22"/>
        </w:rPr>
        <w:t>Portada e Interfaz Pública del Simulador Saber TyT.</w:t>
      </w:r>
    </w:p>
    <w:p>
      <w:pPr>
        <w:spacing w:before="80" w:after="80"/>
        <w:ind w:firstLine="0"/>
        <w:jc w:val="center"/>
      </w:pPr>
      <w:r>
        <w:drawing>
          <wp:inline xmlns:a="http://schemas.openxmlformats.org/drawingml/2006/main" xmlns:pic="http://schemas.openxmlformats.org/drawingml/2006/picture">
            <wp:extent cx="5486400" cy="2571238"/>
            <wp:docPr id="1" name="Picture 1"/>
            <wp:cNvGraphicFramePr>
              <a:graphicFrameLocks noChangeAspect="1"/>
            </wp:cNvGraphicFramePr>
            <a:graphic>
              <a:graphicData uri="http://schemas.openxmlformats.org/drawingml/2006/picture">
                <pic:pic>
                  <pic:nvPicPr>
                    <pic:cNvPr id="0" name="figura_01_landing.png"/>
                    <pic:cNvPicPr/>
                  </pic:nvPicPr>
                  <pic:blipFill>
                    <a:blip r:embed="rId11"/>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Vista de acceso general del sistema institucional con listado de pruebas activas. Elaboración propia (2026).</w:t>
      </w:r>
    </w:p>
    <w:p>
      <w:pPr>
        <w:spacing w:before="240" w:after="120" w:line="360" w:lineRule="auto"/>
        <w:jc w:val="center"/>
      </w:pPr>
      <w:r>
        <w:rPr>
          <w:rFonts w:ascii="Times New Roman" w:hAnsi="Times New Roman"/>
          <w:b/>
          <w:color w:val="000000"/>
          <w:sz w:val="28"/>
        </w:rPr>
        <w:t>2. Objetivos del Informe Técnico</w:t>
      </w:r>
    </w:p>
    <w:p>
      <w:pPr>
        <w:spacing w:before="240" w:after="120" w:line="360" w:lineRule="auto"/>
        <w:jc w:val="left"/>
      </w:pPr>
      <w:r>
        <w:rPr>
          <w:rFonts w:ascii="Times New Roman" w:hAnsi="Times New Roman"/>
          <w:b/>
          <w:color w:val="000000"/>
          <w:sz w:val="26"/>
        </w:rPr>
        <w:t>2.1 Objetivo General</w:t>
      </w:r>
    </w:p>
    <w:p>
      <w:pPr>
        <w:spacing w:line="360" w:lineRule="auto" w:after="120" w:before="0"/>
        <w:ind w:firstLine="720"/>
        <w:jc w:val="both"/>
      </w:pPr>
      <w:r>
        <w:rPr>
          <w:rFonts w:ascii="Times New Roman" w:hAnsi="Times New Roman"/>
          <w:color w:val="000000"/>
          <w:sz w:val="24"/>
        </w:rPr>
        <w:t>Implementar, documentar y evaluar una plataforma web institucional en Django que garantice la autenticación desacoplada con tokens JWT, la autorización granular por roles personalizables (RBAC), la administración de un banco de preguntas clasificado con control de duplicados criptográficos, la importación masiva de reactivos mediante hojas de cálculo y la aplicación en tiempo real de cuestionarios temporizados con calificación automática calculada en el servidor.</w:t>
      </w:r>
    </w:p>
    <w:p>
      <w:pPr>
        <w:spacing w:before="240" w:after="120" w:line="360" w:lineRule="auto"/>
        <w:jc w:val="left"/>
      </w:pPr>
      <w:r>
        <w:rPr>
          <w:rFonts w:ascii="Times New Roman" w:hAnsi="Times New Roman"/>
          <w:b/>
          <w:color w:val="000000"/>
          <w:sz w:val="26"/>
        </w:rPr>
        <w:t>2.2 Objetivos Específicos</w:t>
      </w:r>
    </w:p>
    <w:p>
      <w:pPr>
        <w:spacing w:line="360" w:lineRule="auto" w:after="120" w:before="0"/>
        <w:ind w:firstLine="720"/>
        <w:jc w:val="both"/>
      </w:pPr>
      <w:r>
        <w:rPr>
          <w:rFonts w:ascii="Times New Roman" w:hAnsi="Times New Roman"/>
          <w:color w:val="000000"/>
          <w:sz w:val="24"/>
        </w:rPr>
        <w:t>1. Diseñar e integrar la infraestructura de autenticación híbrida (Sesión web tradicional y Tokens JWT con expiración, rotación y listas negras) protegiendo el acceso a las funciones reservadas.</w:t>
      </w:r>
    </w:p>
    <w:p>
      <w:pPr>
        <w:spacing w:line="360" w:lineRule="auto" w:after="120" w:before="0"/>
        <w:ind w:firstLine="720"/>
        <w:jc w:val="both"/>
      </w:pPr>
      <w:r>
        <w:rPr>
          <w:rFonts w:ascii="Times New Roman" w:hAnsi="Times New Roman"/>
          <w:color w:val="000000"/>
          <w:sz w:val="24"/>
        </w:rPr>
        <w:t>2. Construir un modelo de control de acceso basado en roles que permita al Administrador crear perfiles personalizados como 'Docente Evaluador' y asignar permisos unitarios mediante validaciones estrictas del lado del servidor.</w:t>
      </w:r>
    </w:p>
    <w:p>
      <w:pPr>
        <w:spacing w:line="360" w:lineRule="auto" w:after="120" w:before="0"/>
        <w:ind w:firstLine="720"/>
        <w:jc w:val="both"/>
      </w:pPr>
      <w:r>
        <w:rPr>
          <w:rFonts w:ascii="Times New Roman" w:hAnsi="Times New Roman"/>
          <w:color w:val="000000"/>
          <w:sz w:val="24"/>
        </w:rPr>
        <w:t>3. Desarrollar un banco de preguntas modular que organice las preguntas por competencias oficiales Saber TyT, soportando reactivos de selección múltiple y verdadero/falso, y garantizando la unicidad mediante huellas SHA-256.</w:t>
      </w:r>
    </w:p>
    <w:p>
      <w:pPr>
        <w:spacing w:line="360" w:lineRule="auto" w:after="120" w:before="0"/>
        <w:ind w:firstLine="720"/>
        <w:jc w:val="both"/>
      </w:pPr>
      <w:r>
        <w:rPr>
          <w:rFonts w:ascii="Times New Roman" w:hAnsi="Times New Roman"/>
          <w:color w:val="000000"/>
          <w:sz w:val="24"/>
        </w:rPr>
        <w:t>4. Proveer un reproductor de exámenes en vivo seguro, con temporizador regresivo sincronizado, aislamiento de intentos por estudiante y cálculo automático de nota final sin exponer las respuestas correctas en el frontend.</w:t>
      </w:r>
    </w:p>
    <w:p>
      <w:pPr>
        <w:spacing w:before="240" w:after="120" w:line="360" w:lineRule="auto"/>
        <w:jc w:val="center"/>
      </w:pPr>
      <w:r>
        <w:rPr>
          <w:rFonts w:ascii="Times New Roman" w:hAnsi="Times New Roman"/>
          <w:b/>
          <w:color w:val="000000"/>
          <w:sz w:val="28"/>
        </w:rPr>
        <w:t>3. Arquitectura Global de la Solución</w:t>
      </w:r>
    </w:p>
    <w:p>
      <w:pPr>
        <w:spacing w:before="240" w:after="120" w:line="360" w:lineRule="auto"/>
        <w:jc w:val="left"/>
      </w:pPr>
      <w:r>
        <w:rPr>
          <w:rFonts w:ascii="Times New Roman" w:hAnsi="Times New Roman"/>
          <w:b/>
          <w:color w:val="000000"/>
          <w:sz w:val="26"/>
        </w:rPr>
        <w:t>3.1 Patrón de Arquitectura MVT y Componentes Backend</w:t>
      </w:r>
    </w:p>
    <w:p>
      <w:pPr>
        <w:spacing w:line="360" w:lineRule="auto" w:after="120" w:before="0"/>
        <w:ind w:firstLine="720"/>
        <w:jc w:val="both"/>
      </w:pPr>
      <w:r>
        <w:rPr>
          <w:rFonts w:ascii="Times New Roman" w:hAnsi="Times New Roman"/>
          <w:color w:val="000000"/>
          <w:sz w:val="24"/>
        </w:rPr>
        <w:t>El sistema adopta el patrón Modelo-Vista-Template (MVT) promovido por Django, garantizando una separación estricta de responsabilidades entre el acceso a datos, la lógica de negocio y las capas de presentación visual. El proyecto se estructura en dos aplicaciones principales:</w:t>
      </w:r>
    </w:p>
    <w:p>
      <w:pPr>
        <w:spacing w:line="360" w:lineRule="auto" w:after="120" w:before="0"/>
        <w:ind w:firstLine="720"/>
        <w:jc w:val="both"/>
      </w:pPr>
      <w:r>
        <w:rPr>
          <w:rFonts w:ascii="Times New Roman" w:hAnsi="Times New Roman"/>
          <w:color w:val="000000"/>
          <w:sz w:val="24"/>
        </w:rPr>
        <w:t>• Aplicación Core (core): Responsable del subsistema de usuarios institucionales, los modelos de Rol y PermisoSistema, la emisión y serialización de tokens JWT, los decoradores de seguridad para verificación de permisos en el servidor, el middleware de autenticación por cookies y los cuadros de mando diferenciados para Administradores, Docentes y Estudiantes.</w:t>
      </w:r>
    </w:p>
    <w:p>
      <w:pPr>
        <w:spacing w:line="360" w:lineRule="auto" w:after="120" w:before="0"/>
        <w:ind w:firstLine="720"/>
        <w:jc w:val="both"/>
      </w:pPr>
      <w:r>
        <w:rPr>
          <w:rFonts w:ascii="Times New Roman" w:hAnsi="Times New Roman"/>
          <w:color w:val="000000"/>
          <w:sz w:val="24"/>
        </w:rPr>
        <w:t>• Aplicación Preguntas (preguntas): Administra los modelos pedagógicos (Categoria, Pregunta, OpcionRespuesta, Cuestionario, CuestionarioPregunta, Intento y RespuestaIntento), el servicio de importación y análisis de archivos Excel, y el motor de simulación de evaluaciones con cálculo de calificaciones y retroalimentación inmediata.</w:t>
      </w:r>
    </w:p>
    <w:p>
      <w:pPr>
        <w:spacing w:before="240" w:after="40" w:line="276" w:lineRule="auto"/>
        <w:ind w:firstLine="0"/>
      </w:pPr>
      <w:r>
        <w:rPr>
          <w:rFonts w:ascii="Times New Roman" w:hAnsi="Times New Roman"/>
          <w:b/>
          <w:color w:val="000000"/>
          <w:sz w:val="22"/>
        </w:rPr>
        <w:t>Figura 2</w:t>
      </w:r>
    </w:p>
    <w:p>
      <w:pPr>
        <w:spacing w:before="0" w:after="120" w:line="276" w:lineRule="auto"/>
        <w:ind w:firstLine="0"/>
      </w:pPr>
      <w:r>
        <w:rPr>
          <w:rFonts w:ascii="Times New Roman" w:hAnsi="Times New Roman"/>
          <w:i/>
          <w:color w:val="000000"/>
          <w:sz w:val="22"/>
        </w:rPr>
        <w:t>Interfaz de Inicio de Sesión Institucional con Validación JWT.</w:t>
      </w:r>
    </w:p>
    <w:p>
      <w:pPr>
        <w:spacing w:before="80" w:after="80"/>
        <w:ind w:firstLine="0"/>
        <w:jc w:val="center"/>
      </w:pPr>
      <w:r>
        <w:drawing>
          <wp:inline xmlns:a="http://schemas.openxmlformats.org/drawingml/2006/main" xmlns:pic="http://schemas.openxmlformats.org/drawingml/2006/picture">
            <wp:extent cx="5486400" cy="2571238"/>
            <wp:docPr id="2" name="Picture 2"/>
            <wp:cNvGraphicFramePr>
              <a:graphicFrameLocks noChangeAspect="1"/>
            </wp:cNvGraphicFramePr>
            <a:graphic>
              <a:graphicData uri="http://schemas.openxmlformats.org/drawingml/2006/picture">
                <pic:pic>
                  <pic:nvPicPr>
                    <pic:cNvPr id="0" name="figura_02_login.png"/>
                    <pic:cNvPicPr/>
                  </pic:nvPicPr>
                  <pic:blipFill>
                    <a:blip r:embed="rId12"/>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Formulario de autenticación que soporta inicio de sesión mediante nombre de usuario o correo electrónico. Elaboración propia (2026).</w:t>
      </w:r>
    </w:p>
    <w:p>
      <w:pPr>
        <w:spacing w:before="240" w:after="120" w:line="360" w:lineRule="auto"/>
        <w:jc w:val="left"/>
      </w:pPr>
      <w:r>
        <w:rPr>
          <w:rFonts w:ascii="Times New Roman" w:hAnsi="Times New Roman"/>
          <w:b/>
          <w:color w:val="000000"/>
          <w:sz w:val="26"/>
        </w:rPr>
        <w:t>3.2 Base de Datos Relacional y Esquema Físico</w:t>
      </w:r>
    </w:p>
    <w:p>
      <w:pPr>
        <w:spacing w:line="360" w:lineRule="auto" w:after="120" w:before="0"/>
        <w:ind w:firstLine="720"/>
        <w:jc w:val="both"/>
      </w:pPr>
      <w:r>
        <w:rPr>
          <w:rFonts w:ascii="Times New Roman" w:hAnsi="Times New Roman"/>
          <w:color w:val="000000"/>
          <w:sz w:val="24"/>
        </w:rPr>
        <w:t>La persistencia de la información opera sobre el motor relacional MariaDB/MySQL mediante el conector nativo mysqlclient. El esquema de datos fue optimizado para soportar alta concurrencia de estudiantes y garantizar integridad referencial. Entre las entidades más representativas se destacan las tablas preguntas (con restricción única sobre el campo huella_contenido), cuestionarios (con control de fechas, límites de tiempo e intentos máximos), e intentos (donde se registran los puntajes obtenidos, tiempos empleados y calificaciones calculadas).</w:t>
      </w:r>
    </w:p>
    <w:p>
      <w:pPr>
        <w:spacing w:before="240" w:after="40" w:line="276" w:lineRule="auto"/>
        <w:ind w:firstLine="0"/>
      </w:pPr>
      <w:r>
        <w:rPr>
          <w:rFonts w:ascii="Times New Roman" w:hAnsi="Times New Roman"/>
          <w:b/>
          <w:color w:val="000000"/>
          <w:sz w:val="22"/>
        </w:rPr>
        <w:t>Figura 3</w:t>
      </w:r>
    </w:p>
    <w:p>
      <w:pPr>
        <w:spacing w:before="0" w:after="120" w:line="276" w:lineRule="auto"/>
        <w:ind w:firstLine="0"/>
      </w:pPr>
      <w:r>
        <w:rPr>
          <w:rFonts w:ascii="Times New Roman" w:hAnsi="Times New Roman"/>
          <w:i/>
          <w:color w:val="000000"/>
          <w:sz w:val="22"/>
        </w:rPr>
        <w:t>Panel de Control de Administración con Métricas y Accesos Rápidos.</w:t>
      </w:r>
    </w:p>
    <w:p>
      <w:pPr>
        <w:spacing w:before="80" w:after="80"/>
        <w:ind w:firstLine="0"/>
        <w:jc w:val="center"/>
      </w:pPr>
      <w:r>
        <w:drawing>
          <wp:inline xmlns:a="http://schemas.openxmlformats.org/drawingml/2006/main" xmlns:pic="http://schemas.openxmlformats.org/drawingml/2006/picture">
            <wp:extent cx="5486400" cy="2571238"/>
            <wp:docPr id="3" name="Picture 3"/>
            <wp:cNvGraphicFramePr>
              <a:graphicFrameLocks noChangeAspect="1"/>
            </wp:cNvGraphicFramePr>
            <a:graphic>
              <a:graphicData uri="http://schemas.openxmlformats.org/drawingml/2006/picture">
                <pic:pic>
                  <pic:nvPicPr>
                    <pic:cNvPr id="0" name="figura_03_admin_dashboard.png"/>
                    <pic:cNvPicPr/>
                  </pic:nvPicPr>
                  <pic:blipFill>
                    <a:blip r:embed="rId13"/>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Cuadro de mando principal para el rol Administrador con indicadores de reactivos activos y cuestionarios. Elaboración propia (2026).</w:t>
      </w:r>
    </w:p>
    <w:p>
      <w:pPr>
        <w:spacing w:before="240" w:after="120" w:line="360" w:lineRule="auto"/>
        <w:jc w:val="center"/>
      </w:pPr>
      <w:r>
        <w:rPr>
          <w:rFonts w:ascii="Times New Roman" w:hAnsi="Times New Roman"/>
          <w:b/>
          <w:color w:val="000000"/>
          <w:sz w:val="28"/>
        </w:rPr>
        <w:t>4. Módulo 1: Autenticación Robusta y Seguridad con Tokens JWT</w:t>
      </w:r>
    </w:p>
    <w:p>
      <w:pPr>
        <w:spacing w:before="240" w:after="120" w:line="360" w:lineRule="auto"/>
        <w:jc w:val="left"/>
      </w:pPr>
      <w:r>
        <w:rPr>
          <w:rFonts w:ascii="Times New Roman" w:hAnsi="Times New Roman"/>
          <w:b/>
          <w:color w:val="000000"/>
          <w:sz w:val="26"/>
        </w:rPr>
        <w:t>4.1 Ciclo de Vida del Token: Acceso, Renovación y Revocación</w:t>
      </w:r>
    </w:p>
    <w:p>
      <w:pPr>
        <w:spacing w:line="360" w:lineRule="auto" w:after="120" w:before="0"/>
        <w:ind w:firstLine="720"/>
        <w:jc w:val="both"/>
      </w:pPr>
      <w:r>
        <w:rPr>
          <w:rFonts w:ascii="Times New Roman" w:hAnsi="Times New Roman"/>
          <w:color w:val="000000"/>
          <w:sz w:val="24"/>
        </w:rPr>
        <w:t>En observancia de los lineamientos del numeral 2.1 de la guía evaluativa, el sistema implementa la especificación estándar JSON Web Token mediante la biblioteca djangorestframework-simplejwt. En el momento en que un usuario se autentica válidamente, el serializador personalizado CustomTokenObtainPairSerializer genera un par criptográfico: un Token de Acceso (access token) con una vigencia temporal de 60 minutos y un Token de Renovación (refresh token) con una duración de 24 horas. Para optimizar la seguridad sin comprometer la experiencia de uso, el payload del token incorpora claims enriquecidos con el código de rol institucional, nombre completo y el listado de permisos explícitos.</w:t>
      </w:r>
    </w:p>
    <w:p>
      <w:pPr>
        <w:spacing w:line="360" w:lineRule="auto" w:after="120" w:before="0"/>
        <w:ind w:firstLine="720"/>
        <w:jc w:val="both"/>
      </w:pPr>
      <w:r>
        <w:rPr>
          <w:rFonts w:ascii="Times New Roman" w:hAnsi="Times New Roman"/>
          <w:color w:val="000000"/>
          <w:sz w:val="24"/>
        </w:rPr>
        <w:t>Asimismo, se activó la rotación automática de credenciales (ROTATE_REFRESH_TOKENS = True) y la incorporación del token sustituido a la lista negra (BLACKLIST_AFTER_ROTATION = True). Al ejecutar la acción de cierre de sesión, el método logout_view invalida formalmente el token en la base de datos a través de la tabla token_blacklist_blacklistedtoken, impidiendo cualquier intento de reutilización ilegítima por parte de terceros.</w:t>
      </w:r>
    </w:p>
    <w:p>
      <w:pPr>
        <w:spacing w:before="240" w:after="120" w:line="360" w:lineRule="auto"/>
        <w:jc w:val="left"/>
      </w:pPr>
      <w:r>
        <w:rPr>
          <w:rFonts w:ascii="Times New Roman" w:hAnsi="Times New Roman"/>
          <w:b/>
          <w:color w:val="000000"/>
          <w:sz w:val="26"/>
        </w:rPr>
        <w:t>4.2 Restricción y Decoradores de Seguridad Verificados en el Servidor</w:t>
      </w:r>
    </w:p>
    <w:p>
      <w:pPr>
        <w:spacing w:line="360" w:lineRule="auto" w:after="120" w:before="0"/>
        <w:ind w:firstLine="720"/>
        <w:jc w:val="both"/>
      </w:pPr>
      <w:r>
        <w:rPr>
          <w:rFonts w:ascii="Times New Roman" w:hAnsi="Times New Roman"/>
          <w:color w:val="000000"/>
          <w:sz w:val="24"/>
        </w:rPr>
        <w:t>Un requerimiento no negociable del parcial establece que las restricciones deben ser verificadas en Django y no exclusivamente ocultando elementos en la interfaz gráfica. Para ello, se diseñó el decorador personalizado @requiere_permiso(codigo_permiso), el cual intercepta cada solicitud entrante antes de alcanzar la función de vista. El decorador verifica que el usuario esté autenticado, que su cuenta se encuentre activa (is_active = True), y consulta en la base de datos si su rol posee el código de permiso necesario. En caso de no cumplir la condición, el servidor retorna un código HTTP 403 Forbidden con un mensaje explicativo detallado, bloqueando tanto navegadores web como clientes de API que intenten peticiones directas.</w:t>
      </w:r>
    </w:p>
    <w:p>
      <w:pPr>
        <w:spacing w:before="240" w:after="120" w:line="360" w:lineRule="auto"/>
        <w:jc w:val="left"/>
      </w:pPr>
      <w:r>
        <w:rPr>
          <w:rFonts w:ascii="Times New Roman" w:hAnsi="Times New Roman"/>
          <w:b/>
          <w:color w:val="000000"/>
          <w:sz w:val="26"/>
        </w:rPr>
        <w:t>4.3 Control de Inactividad de Cuentas Institucionales</w:t>
      </w:r>
    </w:p>
    <w:p>
      <w:pPr>
        <w:spacing w:line="360" w:lineRule="auto" w:after="120" w:before="0"/>
        <w:ind w:firstLine="720"/>
        <w:jc w:val="both"/>
      </w:pPr>
      <w:r>
        <w:rPr>
          <w:rFonts w:ascii="Times New Roman" w:hAnsi="Times New Roman"/>
          <w:color w:val="000000"/>
          <w:sz w:val="24"/>
        </w:rPr>
        <w:t>Si un usuario es suspendido por el Administrador institucional, el campo is_active se conmuta a False. Cuando un usuario desactivado intenta iniciar sesión, el serializador de autenticación bloquea la generación del JWT. Igualmente, si el usuario contaba con una sesión abierta previa, el decorador de seguridad y el middleware detectan la inactivación en tiempo real y cortan de inmediato el acceso, redireccionando al login institucional.</w:t>
      </w:r>
    </w:p>
    <w:p>
      <w:pPr>
        <w:spacing w:before="240" w:after="120" w:line="360" w:lineRule="auto"/>
        <w:jc w:val="center"/>
      </w:pPr>
      <w:r>
        <w:rPr>
          <w:rFonts w:ascii="Times New Roman" w:hAnsi="Times New Roman"/>
          <w:b/>
          <w:color w:val="000000"/>
          <w:sz w:val="28"/>
        </w:rPr>
        <w:t>5. Módulo 2: Administración de Usuarios y Roles Configurables (RBAC)</w:t>
      </w:r>
    </w:p>
    <w:p>
      <w:pPr>
        <w:spacing w:before="240" w:after="120" w:line="360" w:lineRule="auto"/>
        <w:jc w:val="left"/>
      </w:pPr>
      <w:r>
        <w:rPr>
          <w:rFonts w:ascii="Times New Roman" w:hAnsi="Times New Roman"/>
          <w:b/>
          <w:color w:val="000000"/>
          <w:sz w:val="26"/>
        </w:rPr>
        <w:t>5.1 Gestión de Cuentas de Usuario y Perfiles Académicos</w:t>
      </w:r>
    </w:p>
    <w:p>
      <w:pPr>
        <w:spacing w:line="360" w:lineRule="auto" w:after="120" w:before="0"/>
        <w:ind w:firstLine="720"/>
        <w:jc w:val="both"/>
      </w:pPr>
      <w:r>
        <w:rPr>
          <w:rFonts w:ascii="Times New Roman" w:hAnsi="Times New Roman"/>
          <w:color w:val="000000"/>
          <w:sz w:val="24"/>
        </w:rPr>
        <w:t>El módulo de usuarios permite al Administrador registrar nuevos integrantes mediante un formulario institucional, asignarles su respectivo rol, código institucional, programa académico y contraseña cifrada con el algoritmo PBKDF2 con hash SHA-256 nativo de Django. Asimismo, se implementó el soporte completo para edición de datos existentes y la conmutación de estado (activar/suspender cuenta) en un solo clic.</w:t>
      </w:r>
    </w:p>
    <w:p>
      <w:pPr>
        <w:spacing w:before="240" w:after="40" w:line="276" w:lineRule="auto"/>
        <w:ind w:firstLine="0"/>
      </w:pPr>
      <w:r>
        <w:rPr>
          <w:rFonts w:ascii="Times New Roman" w:hAnsi="Times New Roman"/>
          <w:b/>
          <w:color w:val="000000"/>
          <w:sz w:val="22"/>
        </w:rPr>
        <w:t>Figura 4</w:t>
      </w:r>
    </w:p>
    <w:p>
      <w:pPr>
        <w:spacing w:before="0" w:after="120" w:line="276" w:lineRule="auto"/>
        <w:ind w:firstLine="0"/>
      </w:pPr>
      <w:r>
        <w:rPr>
          <w:rFonts w:ascii="Times New Roman" w:hAnsi="Times New Roman"/>
          <w:i/>
          <w:color w:val="000000"/>
          <w:sz w:val="22"/>
        </w:rPr>
        <w:t>Módulo de Gestión de Usuarios y Filtros Institucionales.</w:t>
      </w:r>
    </w:p>
    <w:p>
      <w:pPr>
        <w:spacing w:before="80" w:after="80"/>
        <w:ind w:firstLine="0"/>
        <w:jc w:val="center"/>
      </w:pPr>
      <w:r>
        <w:drawing>
          <wp:inline xmlns:a="http://schemas.openxmlformats.org/drawingml/2006/main" xmlns:pic="http://schemas.openxmlformats.org/drawingml/2006/picture">
            <wp:extent cx="5486400" cy="2571238"/>
            <wp:docPr id="4" name="Picture 4"/>
            <wp:cNvGraphicFramePr>
              <a:graphicFrameLocks noChangeAspect="1"/>
            </wp:cNvGraphicFramePr>
            <a:graphic>
              <a:graphicData uri="http://schemas.openxmlformats.org/drawingml/2006/picture">
                <pic:pic>
                  <pic:nvPicPr>
                    <pic:cNvPr id="0" name="figura_04_usuarios.png"/>
                    <pic:cNvPicPr/>
                  </pic:nvPicPr>
                  <pic:blipFill>
                    <a:blip r:embed="rId14"/>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Listado de usuarios con filtros por rol (Admin, Docente, Estudiante) y estado de acceso. Elaboración propia (2026).</w:t>
      </w:r>
    </w:p>
    <w:p>
      <w:pPr>
        <w:spacing w:before="240" w:after="40" w:line="276" w:lineRule="auto"/>
        <w:ind w:firstLine="0"/>
      </w:pPr>
      <w:r>
        <w:rPr>
          <w:rFonts w:ascii="Times New Roman" w:hAnsi="Times New Roman"/>
          <w:b/>
          <w:color w:val="000000"/>
          <w:sz w:val="22"/>
        </w:rPr>
        <w:t>Figura 5</w:t>
      </w:r>
    </w:p>
    <w:p>
      <w:pPr>
        <w:spacing w:before="0" w:after="120" w:line="276" w:lineRule="auto"/>
        <w:ind w:firstLine="0"/>
      </w:pPr>
      <w:r>
        <w:rPr>
          <w:rFonts w:ascii="Times New Roman" w:hAnsi="Times New Roman"/>
          <w:i/>
          <w:color w:val="000000"/>
          <w:sz w:val="22"/>
        </w:rPr>
        <w:t>Modal Interactivo para Edición de Usuario Institucional.</w:t>
      </w:r>
    </w:p>
    <w:p>
      <w:pPr>
        <w:spacing w:before="80" w:after="80"/>
        <w:ind w:firstLine="0"/>
        <w:jc w:val="center"/>
      </w:pPr>
      <w:r>
        <w:drawing>
          <wp:inline xmlns:a="http://schemas.openxmlformats.org/drawingml/2006/main" xmlns:pic="http://schemas.openxmlformats.org/drawingml/2006/picture">
            <wp:extent cx="5486400" cy="2571238"/>
            <wp:docPr id="5" name="Picture 5"/>
            <wp:cNvGraphicFramePr>
              <a:graphicFrameLocks noChangeAspect="1"/>
            </wp:cNvGraphicFramePr>
            <a:graphic>
              <a:graphicData uri="http://schemas.openxmlformats.org/drawingml/2006/picture">
                <pic:pic>
                  <pic:nvPicPr>
                    <pic:cNvPr id="0" name="figura_05_modal_editar_usuario.png"/>
                    <pic:cNvPicPr/>
                  </pic:nvPicPr>
                  <pic:blipFill>
                    <a:blip r:embed="rId15"/>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Formulario modal que permite actualizar nombres, apellidos, correo, rol y credenciales. Elaboración propia (2026).</w:t>
      </w:r>
    </w:p>
    <w:p>
      <w:pPr>
        <w:spacing w:before="240" w:after="120" w:line="360" w:lineRule="auto"/>
        <w:jc w:val="left"/>
      </w:pPr>
      <w:r>
        <w:rPr>
          <w:rFonts w:ascii="Times New Roman" w:hAnsi="Times New Roman"/>
          <w:b/>
          <w:color w:val="000000"/>
          <w:sz w:val="26"/>
        </w:rPr>
        <w:t>5.2 Configuración Dinámica de Roles y Matriz de Permisos</w:t>
      </w:r>
    </w:p>
    <w:p>
      <w:pPr>
        <w:spacing w:line="360" w:lineRule="auto" w:after="120" w:before="0"/>
        <w:ind w:firstLine="720"/>
        <w:jc w:val="both"/>
      </w:pPr>
      <w:r>
        <w:rPr>
          <w:rFonts w:ascii="Times New Roman" w:hAnsi="Times New Roman"/>
          <w:color w:val="000000"/>
          <w:sz w:val="24"/>
        </w:rPr>
        <w:t>Para dar exacto cumplimiento a la rúbrica 2.2, el sistema permite que el Administrador no solo dependa de los roles básicos predeterminados, sino que cree roles personalizados y ajuste individualmente las casillas de verificación de los permisos autorizados. El modelo Rol posee una relación Many-to-Many con la entidad PermisoSistema, permitiendo seleccionar funcionalidades tales como: usuarios.crear, preguntas.gestionar, preguntas.importar, cuestionarios.gestionar, evaluaciones.responder y resultados.consultar_todos.</w:t>
      </w:r>
    </w:p>
    <w:p>
      <w:pPr>
        <w:spacing w:before="240" w:after="40" w:line="276" w:lineRule="auto"/>
        <w:ind w:firstLine="0"/>
      </w:pPr>
      <w:r>
        <w:rPr>
          <w:rFonts w:ascii="Times New Roman" w:hAnsi="Times New Roman"/>
          <w:b/>
          <w:color w:val="000000"/>
          <w:sz w:val="22"/>
        </w:rPr>
        <w:t>Figura 6</w:t>
      </w:r>
    </w:p>
    <w:p>
      <w:pPr>
        <w:spacing w:before="0" w:after="120" w:line="276" w:lineRule="auto"/>
        <w:ind w:firstLine="0"/>
      </w:pPr>
      <w:r>
        <w:rPr>
          <w:rFonts w:ascii="Times New Roman" w:hAnsi="Times New Roman"/>
          <w:i/>
          <w:color w:val="000000"/>
          <w:sz w:val="22"/>
        </w:rPr>
        <w:t>Configuración de Roles y Asignación Granular de Permisos.</w:t>
      </w:r>
    </w:p>
    <w:p>
      <w:pPr>
        <w:spacing w:before="80" w:after="80"/>
        <w:ind w:firstLine="0"/>
        <w:jc w:val="center"/>
      </w:pPr>
      <w:r>
        <w:drawing>
          <wp:inline xmlns:a="http://schemas.openxmlformats.org/drawingml/2006/main" xmlns:pic="http://schemas.openxmlformats.org/drawingml/2006/picture">
            <wp:extent cx="5486400" cy="2571238"/>
            <wp:docPr id="6" name="Picture 6"/>
            <wp:cNvGraphicFramePr>
              <a:graphicFrameLocks noChangeAspect="1"/>
            </wp:cNvGraphicFramePr>
            <a:graphic>
              <a:graphicData uri="http://schemas.openxmlformats.org/drawingml/2006/picture">
                <pic:pic>
                  <pic:nvPicPr>
                    <pic:cNvPr id="0" name="figura_06_roles_permisos.png"/>
                    <pic:cNvPicPr/>
                  </pic:nvPicPr>
                  <pic:blipFill>
                    <a:blip r:embed="rId16"/>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Panel de roles donde el administrador puede habilitar o restringir módulos a cada perfil. Elaboración propia (2026).</w:t>
      </w:r>
    </w:p>
    <w:p>
      <w:pPr>
        <w:spacing w:before="240" w:after="120" w:line="360" w:lineRule="auto"/>
        <w:jc w:val="left"/>
      </w:pPr>
      <w:r>
        <w:rPr>
          <w:rFonts w:ascii="Times New Roman" w:hAnsi="Times New Roman"/>
          <w:b/>
          <w:color w:val="000000"/>
          <w:sz w:val="26"/>
        </w:rPr>
        <w:t>5.3 Caso de Uso: Demostración del Rol Docente Evaluador</w:t>
      </w:r>
    </w:p>
    <w:p>
      <w:pPr>
        <w:spacing w:line="360" w:lineRule="auto" w:after="120" w:before="0"/>
        <w:ind w:firstLine="720"/>
        <w:jc w:val="both"/>
      </w:pPr>
      <w:r>
        <w:rPr>
          <w:rFonts w:ascii="Times New Roman" w:hAnsi="Times New Roman"/>
          <w:color w:val="000000"/>
          <w:sz w:val="24"/>
        </w:rPr>
        <w:t>Como caso de prueba solicitado en la guía, se configuró el rol Docente Evaluador con permisos plenos para gestionar reactivos, importar preguntas y configurar exámenes, pero restringiéndole explícitamente el permiso de administración de usuarios. Cuando el docente ingresa a su dashboard puede operar sobre el banco de preguntas; sin embargo, si intenta navegar hacia /usuarios/, el servidor Django intercepta la petición y responde con la pantalla de Acceso Denegado 403 Forbidden.</w:t>
      </w:r>
    </w:p>
    <w:p>
      <w:pPr>
        <w:spacing w:before="240" w:after="120" w:line="360" w:lineRule="auto"/>
        <w:jc w:val="center"/>
      </w:pPr>
      <w:r>
        <w:rPr>
          <w:rFonts w:ascii="Times New Roman" w:hAnsi="Times New Roman"/>
          <w:b/>
          <w:color w:val="000000"/>
          <w:sz w:val="28"/>
        </w:rPr>
        <w:t>6. Módulo 3: Banco de Preguntas y Clasificación Pedagógica</w:t>
      </w:r>
    </w:p>
    <w:p>
      <w:pPr>
        <w:spacing w:before="240" w:after="120" w:line="360" w:lineRule="auto"/>
        <w:jc w:val="left"/>
      </w:pPr>
      <w:r>
        <w:rPr>
          <w:rFonts w:ascii="Times New Roman" w:hAnsi="Times New Roman"/>
          <w:b/>
          <w:color w:val="000000"/>
          <w:sz w:val="26"/>
        </w:rPr>
        <w:t>6.1 Organización por Competencias Oficiales Saber TyT</w:t>
      </w:r>
    </w:p>
    <w:p>
      <w:pPr>
        <w:spacing w:line="360" w:lineRule="auto" w:after="120" w:before="0"/>
        <w:ind w:firstLine="720"/>
        <w:jc w:val="both"/>
      </w:pPr>
      <w:r>
        <w:rPr>
          <w:rFonts w:ascii="Times New Roman" w:hAnsi="Times New Roman"/>
          <w:color w:val="000000"/>
          <w:sz w:val="24"/>
        </w:rPr>
        <w:t>Las preguntas del simulador se encuentran categorizadas según los módulos obligatorios de las pruebas de Estado: Razonamiento Cuantitativo, Lectura Crítica, Competencias Ciudadanas, Inglés, Comunicación Escrita y Desarrollo de Software. El banco admite tanto preguntas de Selección Múltiple con Única Respuesta (4 opciones A, B, C, D) como preguntas de Falso/Verdadero (2 opciones), con campos dedicados para textos de apoyo o lectura y retroalimentación pedagógica.</w:t>
      </w:r>
    </w:p>
    <w:p>
      <w:pPr>
        <w:spacing w:before="240" w:after="40" w:line="276" w:lineRule="auto"/>
        <w:ind w:firstLine="0"/>
      </w:pPr>
      <w:r>
        <w:rPr>
          <w:rFonts w:ascii="Times New Roman" w:hAnsi="Times New Roman"/>
          <w:b/>
          <w:color w:val="000000"/>
          <w:sz w:val="22"/>
        </w:rPr>
        <w:t>Figura 7</w:t>
      </w:r>
    </w:p>
    <w:p>
      <w:pPr>
        <w:spacing w:before="0" w:after="120" w:line="276" w:lineRule="auto"/>
        <w:ind w:firstLine="0"/>
      </w:pPr>
      <w:r>
        <w:rPr>
          <w:rFonts w:ascii="Times New Roman" w:hAnsi="Times New Roman"/>
          <w:i/>
          <w:color w:val="000000"/>
          <w:sz w:val="22"/>
        </w:rPr>
        <w:t>Banco de Preguntas con Filtros por Competencia y Tipo.</w:t>
      </w:r>
    </w:p>
    <w:p>
      <w:pPr>
        <w:spacing w:before="80" w:after="80"/>
        <w:ind w:firstLine="0"/>
        <w:jc w:val="center"/>
      </w:pPr>
      <w:r>
        <w:drawing>
          <wp:inline xmlns:a="http://schemas.openxmlformats.org/drawingml/2006/main" xmlns:pic="http://schemas.openxmlformats.org/drawingml/2006/picture">
            <wp:extent cx="5486400" cy="2571238"/>
            <wp:docPr id="7" name="Picture 7"/>
            <wp:cNvGraphicFramePr>
              <a:graphicFrameLocks noChangeAspect="1"/>
            </wp:cNvGraphicFramePr>
            <a:graphic>
              <a:graphicData uri="http://schemas.openxmlformats.org/drawingml/2006/picture">
                <pic:pic>
                  <pic:nvPicPr>
                    <pic:cNvPr id="0" name="figura_07_banco_preguntas.png"/>
                    <pic:cNvPicPr/>
                  </pic:nvPicPr>
                  <pic:blipFill>
                    <a:blip r:embed="rId17"/>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Vista de reactivos organizada con badges de estado, puntuación y filtrado dinámico. Elaboración propia (2026).</w:t>
      </w:r>
    </w:p>
    <w:p>
      <w:pPr>
        <w:spacing w:before="240" w:after="120" w:line="360" w:lineRule="auto"/>
        <w:jc w:val="left"/>
      </w:pPr>
      <w:r>
        <w:rPr>
          <w:rFonts w:ascii="Times New Roman" w:hAnsi="Times New Roman"/>
          <w:b/>
          <w:color w:val="000000"/>
          <w:sz w:val="26"/>
        </w:rPr>
        <w:t>6.2 Operaciones CRUD: Registro, Consulta, Edición y Activación</w:t>
      </w:r>
    </w:p>
    <w:p>
      <w:pPr>
        <w:spacing w:line="360" w:lineRule="auto" w:after="120" w:before="0"/>
        <w:ind w:firstLine="720"/>
        <w:jc w:val="both"/>
      </w:pPr>
      <w:r>
        <w:rPr>
          <w:rFonts w:ascii="Times New Roman" w:hAnsi="Times New Roman"/>
          <w:color w:val="000000"/>
          <w:sz w:val="24"/>
        </w:rPr>
        <w:t>Los usuarios facultados pueden registrar reactivos manualmente mediante un modal guiado, consultar el catálogo con búsqueda en tiempo real, desactivar preguntas obsoletas sin eliminarlas de la base de datos (preservando la integridad de históricos anteriores) y editarlas en caso de requerir ajustes en los enunciados, puntajes o respuestas correctas.</w:t>
      </w:r>
    </w:p>
    <w:p>
      <w:pPr>
        <w:spacing w:before="240" w:after="40" w:line="276" w:lineRule="auto"/>
        <w:ind w:firstLine="0"/>
      </w:pPr>
      <w:r>
        <w:rPr>
          <w:rFonts w:ascii="Times New Roman" w:hAnsi="Times New Roman"/>
          <w:b/>
          <w:color w:val="000000"/>
          <w:sz w:val="22"/>
        </w:rPr>
        <w:t>Figura 8</w:t>
      </w:r>
    </w:p>
    <w:p>
      <w:pPr>
        <w:spacing w:before="0" w:after="120" w:line="276" w:lineRule="auto"/>
        <w:ind w:firstLine="0"/>
      </w:pPr>
      <w:r>
        <w:rPr>
          <w:rFonts w:ascii="Times New Roman" w:hAnsi="Times New Roman"/>
          <w:i/>
          <w:color w:val="000000"/>
          <w:sz w:val="22"/>
        </w:rPr>
        <w:t>Modal de Edición de Reactivo con Recálculo de Huella SHA-256.</w:t>
      </w:r>
    </w:p>
    <w:p>
      <w:pPr>
        <w:spacing w:before="80" w:after="80"/>
        <w:ind w:firstLine="0"/>
        <w:jc w:val="center"/>
      </w:pPr>
      <w:r>
        <w:drawing>
          <wp:inline xmlns:a="http://schemas.openxmlformats.org/drawingml/2006/main" xmlns:pic="http://schemas.openxmlformats.org/drawingml/2006/picture">
            <wp:extent cx="5486400" cy="2571238"/>
            <wp:docPr id="8" name="Picture 8"/>
            <wp:cNvGraphicFramePr>
              <a:graphicFrameLocks noChangeAspect="1"/>
            </wp:cNvGraphicFramePr>
            <a:graphic>
              <a:graphicData uri="http://schemas.openxmlformats.org/drawingml/2006/picture">
                <pic:pic>
                  <pic:nvPicPr>
                    <pic:cNvPr id="0" name="figura_08_modal_editar_pregunta.png"/>
                    <pic:cNvPicPr/>
                  </pic:nvPicPr>
                  <pic:blipFill>
                    <a:blip r:embed="rId18"/>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Interfaz asíncrona para actualizar enunciados, puntajes y opciones de una pregunta existente. Elaboración propia (2026).</w:t>
      </w:r>
    </w:p>
    <w:p>
      <w:pPr>
        <w:spacing w:before="240" w:after="120" w:line="360" w:lineRule="auto"/>
        <w:jc w:val="left"/>
      </w:pPr>
      <w:r>
        <w:rPr>
          <w:rFonts w:ascii="Times New Roman" w:hAnsi="Times New Roman"/>
          <w:b/>
          <w:color w:val="000000"/>
          <w:sz w:val="26"/>
        </w:rPr>
        <w:t>6.3 Prevención de Duplicados Mediante Huella Digital SHA-256</w:t>
      </w:r>
    </w:p>
    <w:p>
      <w:pPr>
        <w:spacing w:line="360" w:lineRule="auto" w:after="120" w:before="0"/>
        <w:ind w:firstLine="720"/>
        <w:jc w:val="both"/>
      </w:pPr>
      <w:r>
        <w:rPr>
          <w:rFonts w:ascii="Times New Roman" w:hAnsi="Times New Roman"/>
          <w:color w:val="000000"/>
          <w:sz w:val="24"/>
        </w:rPr>
        <w:t>Para evitar la duplicidad accidental de reactivos en el banco, el sistema calcula de manera automática una huella digital criptográfica utilizando la función SHA-256 sobre la concatenación normalizada del enunciado y los textos de las opciones de respuesta. El campo huella_contenido posee una restricción UNIQUE en MariaDB; si un usuario intenta registrar o importar una pregunta que coincide en su estructura con una ya existente, Django rechaza la transacción y notifica el error de duplicidad.</w:t>
      </w:r>
    </w:p>
    <w:p>
      <w:pPr>
        <w:spacing w:before="240" w:after="120" w:line="360" w:lineRule="auto"/>
        <w:jc w:val="center"/>
      </w:pPr>
      <w:r>
        <w:rPr>
          <w:rFonts w:ascii="Times New Roman" w:hAnsi="Times New Roman"/>
          <w:b/>
          <w:color w:val="000000"/>
          <w:sz w:val="28"/>
        </w:rPr>
        <w:t>7. Módulo 4: Importación Masiva de Reactivos desde Excel</w:t>
      </w:r>
    </w:p>
    <w:p>
      <w:pPr>
        <w:spacing w:before="240" w:after="120" w:line="360" w:lineRule="auto"/>
        <w:jc w:val="left"/>
      </w:pPr>
      <w:r>
        <w:rPr>
          <w:rFonts w:ascii="Times New Roman" w:hAnsi="Times New Roman"/>
          <w:b/>
          <w:color w:val="000000"/>
          <w:sz w:val="26"/>
        </w:rPr>
        <w:t>7.1 Estructura de la Plantilla Reglamentaria y Mapeo</w:t>
      </w:r>
    </w:p>
    <w:p>
      <w:pPr>
        <w:spacing w:line="360" w:lineRule="auto" w:after="120" w:before="0"/>
        <w:ind w:firstLine="720"/>
        <w:jc w:val="both"/>
      </w:pPr>
      <w:r>
        <w:rPr>
          <w:rFonts w:ascii="Times New Roman" w:hAnsi="Times New Roman"/>
          <w:color w:val="000000"/>
          <w:sz w:val="24"/>
        </w:rPr>
        <w:t>Con el propósito de agilizar la carga masiva de bancos de evaluación suministrados por comités docentes, se integró un procesador de hojas de cálculo basado en la librería openpyxl. La plantilla oficial (.xlsx) estandariza 11 columnas: categoría, tipo, texto_base, pregunta, opcion_a, opcion_b, opcion_c, opcion_d, respuesta_correcta, retroalimentacion y puntaje.</w:t>
      </w:r>
    </w:p>
    <w:p>
      <w:pPr>
        <w:spacing w:before="240" w:after="40" w:line="276" w:lineRule="auto"/>
        <w:ind w:firstLine="0"/>
      </w:pPr>
      <w:r>
        <w:rPr>
          <w:rFonts w:ascii="Times New Roman" w:hAnsi="Times New Roman"/>
          <w:b/>
          <w:color w:val="000000"/>
          <w:sz w:val="22"/>
        </w:rPr>
        <w:t>Figura 9</w:t>
      </w:r>
    </w:p>
    <w:p>
      <w:pPr>
        <w:spacing w:before="0" w:after="120" w:line="276" w:lineRule="auto"/>
        <w:ind w:firstLine="0"/>
      </w:pPr>
      <w:r>
        <w:rPr>
          <w:rFonts w:ascii="Times New Roman" w:hAnsi="Times New Roman"/>
          <w:i/>
          <w:color w:val="000000"/>
          <w:sz w:val="22"/>
        </w:rPr>
        <w:t>Interfaz de Importación Masiva de Preguntas desde Excel.</w:t>
      </w:r>
    </w:p>
    <w:p>
      <w:pPr>
        <w:spacing w:before="80" w:after="80"/>
        <w:ind w:firstLine="0"/>
        <w:jc w:val="center"/>
      </w:pPr>
      <w:r>
        <w:drawing>
          <wp:inline xmlns:a="http://schemas.openxmlformats.org/drawingml/2006/main" xmlns:pic="http://schemas.openxmlformats.org/drawingml/2006/picture">
            <wp:extent cx="5486400" cy="2571238"/>
            <wp:docPr id="9" name="Picture 9"/>
            <wp:cNvGraphicFramePr>
              <a:graphicFrameLocks noChangeAspect="1"/>
            </wp:cNvGraphicFramePr>
            <a:graphic>
              <a:graphicData uri="http://schemas.openxmlformats.org/drawingml/2006/picture">
                <pic:pic>
                  <pic:nvPicPr>
                    <pic:cNvPr id="0" name="figura_09_importar_excel.png"/>
                    <pic:cNvPicPr/>
                  </pic:nvPicPr>
                  <pic:blipFill>
                    <a:blip r:embed="rId19"/>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Módulo para carga de archivos masivos con validación previa de inconsistencias. Elaboración propia (2026).</w:t>
      </w:r>
    </w:p>
    <w:p>
      <w:pPr>
        <w:spacing w:before="240" w:after="120" w:line="360" w:lineRule="auto"/>
        <w:jc w:val="left"/>
      </w:pPr>
      <w:r>
        <w:rPr>
          <w:rFonts w:ascii="Times New Roman" w:hAnsi="Times New Roman"/>
          <w:b/>
          <w:color w:val="000000"/>
          <w:sz w:val="26"/>
        </w:rPr>
        <w:t>7.2 Algoritmo de Validación Atómica en Dos Fases</w:t>
      </w:r>
    </w:p>
    <w:p>
      <w:pPr>
        <w:spacing w:line="360" w:lineRule="auto" w:after="120" w:before="0"/>
        <w:ind w:firstLine="720"/>
        <w:jc w:val="both"/>
      </w:pPr>
      <w:r>
        <w:rPr>
          <w:rFonts w:ascii="Times New Roman" w:hAnsi="Times New Roman"/>
          <w:color w:val="000000"/>
          <w:sz w:val="24"/>
        </w:rPr>
        <w:t>El servicio importador_excel.py opera bajo una arquitectura de validación en dos pasos: primero, el usuario sube el archivo y el sistema lo procesa en modo commit=False, analizando fila por fila sin modificar la base de datos. Se detectan filas válidas, filas con campos obligatorios vacíos o tipos erróneos, y preguntas duplicadas en el archivo o en la base de datos. Una vez el usuario revisa la previsualización y confirma la operación, el procesador se ejecuta en modo commit=True dentro de una transacción atómica (@transaction.atomic), registrando las preguntas y guardando el resumen en la tabla importaciones.</w:t>
      </w:r>
    </w:p>
    <w:p>
      <w:pPr>
        <w:spacing w:before="240" w:after="120" w:line="360" w:lineRule="auto"/>
        <w:jc w:val="center"/>
      </w:pPr>
      <w:r>
        <w:rPr>
          <w:rFonts w:ascii="Times New Roman" w:hAnsi="Times New Roman"/>
          <w:b/>
          <w:color w:val="000000"/>
          <w:sz w:val="28"/>
        </w:rPr>
        <w:t>8. Módulo 5: Parametrización y Disponibilidad de Cuestionarios</w:t>
      </w:r>
    </w:p>
    <w:p>
      <w:pPr>
        <w:spacing w:before="240" w:after="120" w:line="360" w:lineRule="auto"/>
        <w:jc w:val="left"/>
      </w:pPr>
      <w:r>
        <w:rPr>
          <w:rFonts w:ascii="Times New Roman" w:hAnsi="Times New Roman"/>
          <w:b/>
          <w:color w:val="000000"/>
          <w:sz w:val="26"/>
        </w:rPr>
        <w:t>8.1 Creación y Asociación Ponderada de Reactivos</w:t>
      </w:r>
    </w:p>
    <w:p>
      <w:pPr>
        <w:spacing w:line="360" w:lineRule="auto" w:after="120" w:before="0"/>
        <w:ind w:firstLine="720"/>
        <w:jc w:val="both"/>
      </w:pPr>
      <w:r>
        <w:rPr>
          <w:rFonts w:ascii="Times New Roman" w:hAnsi="Times New Roman"/>
          <w:color w:val="000000"/>
          <w:sz w:val="24"/>
        </w:rPr>
        <w:t>La configuración de cuestionarios en configurar_cuestionario permite seleccionar qué preguntas del banco conforman el examen, definir el orden de aparición y personalizar el puntaje asignado a cada reactivo en caso de requerir ponderaciones específicas distintas al puntaje base de la pregunta.</w:t>
      </w:r>
    </w:p>
    <w:p>
      <w:pPr>
        <w:spacing w:before="240" w:after="40" w:line="276" w:lineRule="auto"/>
        <w:ind w:firstLine="0"/>
      </w:pPr>
      <w:r>
        <w:rPr>
          <w:rFonts w:ascii="Times New Roman" w:hAnsi="Times New Roman"/>
          <w:b/>
          <w:color w:val="000000"/>
          <w:sz w:val="22"/>
        </w:rPr>
        <w:t>Figura 10</w:t>
      </w:r>
    </w:p>
    <w:p>
      <w:pPr>
        <w:spacing w:before="0" w:after="120" w:line="276" w:lineRule="auto"/>
        <w:ind w:firstLine="0"/>
      </w:pPr>
      <w:r>
        <w:rPr>
          <w:rFonts w:ascii="Times New Roman" w:hAnsi="Times New Roman"/>
          <w:i/>
          <w:color w:val="000000"/>
          <w:sz w:val="22"/>
        </w:rPr>
        <w:t>Configuración Reglamentaria de Cuestionario y Preguntas Asignadas.</w:t>
      </w:r>
    </w:p>
    <w:p>
      <w:pPr>
        <w:spacing w:before="80" w:after="80"/>
        <w:ind w:firstLine="0"/>
        <w:jc w:val="center"/>
      </w:pPr>
      <w:r>
        <w:drawing>
          <wp:inline xmlns:a="http://schemas.openxmlformats.org/drawingml/2006/main" xmlns:pic="http://schemas.openxmlformats.org/drawingml/2006/picture">
            <wp:extent cx="5486400" cy="2571238"/>
            <wp:docPr id="10" name="Picture 10"/>
            <wp:cNvGraphicFramePr>
              <a:graphicFrameLocks noChangeAspect="1"/>
            </wp:cNvGraphicFramePr>
            <a:graphic>
              <a:graphicData uri="http://schemas.openxmlformats.org/drawingml/2006/picture">
                <pic:pic>
                  <pic:nvPicPr>
                    <pic:cNvPr id="0" name="figura_10_configurar_cuestionario.png"/>
                    <pic:cNvPicPr/>
                  </pic:nvPicPr>
                  <pic:blipFill>
                    <a:blip r:embed="rId20"/>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Panel de edición del cuestionario con fechas, límite de tiempo, intentos y reactivos asociados. Elaboración propia (2026).</w:t>
      </w:r>
    </w:p>
    <w:p>
      <w:pPr>
        <w:spacing w:before="240" w:after="120" w:line="360" w:lineRule="auto"/>
        <w:jc w:val="left"/>
      </w:pPr>
      <w:r>
        <w:rPr>
          <w:rFonts w:ascii="Times New Roman" w:hAnsi="Times New Roman"/>
          <w:b/>
          <w:color w:val="000000"/>
          <w:sz w:val="26"/>
        </w:rPr>
        <w:t>8.2 Validación Estricta de Temporalidad e Intentos en Backend</w:t>
      </w:r>
    </w:p>
    <w:p>
      <w:pPr>
        <w:spacing w:line="360" w:lineRule="auto" w:after="120" w:before="0"/>
        <w:ind w:firstLine="720"/>
        <w:jc w:val="both"/>
      </w:pPr>
      <w:r>
        <w:rPr>
          <w:rFonts w:ascii="Times New Roman" w:hAnsi="Times New Roman"/>
          <w:color w:val="000000"/>
          <w:sz w:val="24"/>
        </w:rPr>
        <w:t>En estricto cumplimiento del numeral 2.4, la vista iniciar_evaluacion valida en el servidor antes de crear cualquier intento: 1) que el estado sea disponible, 2) que la hora actual se encuentre entre fecha_apertura y fecha_cierre, y 3) que el estudiante no haya alcanzado el número máximo de intentos permitidos (cuestionario.intentos_permitidos). Si alguna condición no se cumple, el intento es bloqueado en Django y el estudiante es devuelto a su panel informativo.</w:t>
      </w:r>
    </w:p>
    <w:p>
      <w:pPr>
        <w:spacing w:before="240" w:after="120" w:line="360" w:lineRule="auto"/>
        <w:jc w:val="center"/>
      </w:pPr>
      <w:r>
        <w:rPr>
          <w:rFonts w:ascii="Times New Roman" w:hAnsi="Times New Roman"/>
          <w:b/>
          <w:color w:val="000000"/>
          <w:sz w:val="28"/>
        </w:rPr>
        <w:t>9. Módulo 6: Presentación de la Prueba en Vivo y Calificación</w:t>
      </w:r>
    </w:p>
    <w:p>
      <w:pPr>
        <w:spacing w:before="240" w:after="120" w:line="360" w:lineRule="auto"/>
        <w:jc w:val="left"/>
      </w:pPr>
      <w:r>
        <w:rPr>
          <w:rFonts w:ascii="Times New Roman" w:hAnsi="Times New Roman"/>
          <w:b/>
          <w:color w:val="000000"/>
          <w:sz w:val="26"/>
        </w:rPr>
        <w:t>9.1 Experiencia Interactiva del Estudiante y Temporizador</w:t>
      </w:r>
    </w:p>
    <w:p>
      <w:pPr>
        <w:spacing w:line="360" w:lineRule="auto" w:after="120" w:before="0"/>
        <w:ind w:firstLine="720"/>
        <w:jc w:val="both"/>
      </w:pPr>
      <w:r>
        <w:rPr>
          <w:rFonts w:ascii="Times New Roman" w:hAnsi="Times New Roman"/>
          <w:color w:val="000000"/>
          <w:sz w:val="24"/>
        </w:rPr>
        <w:t>Cuando el estudiante accede a su panel de control, el sistema filtra y expone únicamente las evaluaciones habilitadas. Al pulsar 'Iniciar evaluación', se genera el registro del Intento y se despliega la interfaz del reproductor interactivo en evaluacion_en_vivo.html. El estudiante cuenta con una barra de progreso superior, un navegador numérico de preguntas, la posibilidad de marcar preguntas para revisión posterior y un temporizador digital regresivo que refleja con exactitud el tiempo límite disponible.</w:t>
      </w:r>
    </w:p>
    <w:p>
      <w:pPr>
        <w:spacing w:before="240" w:after="40" w:line="276" w:lineRule="auto"/>
        <w:ind w:firstLine="0"/>
      </w:pPr>
      <w:r>
        <w:rPr>
          <w:rFonts w:ascii="Times New Roman" w:hAnsi="Times New Roman"/>
          <w:b/>
          <w:color w:val="000000"/>
          <w:sz w:val="22"/>
        </w:rPr>
        <w:t>Figura 11</w:t>
      </w:r>
    </w:p>
    <w:p>
      <w:pPr>
        <w:spacing w:before="0" w:after="120" w:line="276" w:lineRule="auto"/>
        <w:ind w:firstLine="0"/>
      </w:pPr>
      <w:r>
        <w:rPr>
          <w:rFonts w:ascii="Times New Roman" w:hAnsi="Times New Roman"/>
          <w:i/>
          <w:color w:val="000000"/>
          <w:sz w:val="22"/>
        </w:rPr>
        <w:t>Dashboard del Estudiante con Cuestionarios Disponibles y Estadísticas.</w:t>
      </w:r>
    </w:p>
    <w:p>
      <w:pPr>
        <w:spacing w:before="80" w:after="80"/>
        <w:ind w:firstLine="0"/>
        <w:jc w:val="center"/>
      </w:pPr>
      <w:r>
        <w:drawing>
          <wp:inline xmlns:a="http://schemas.openxmlformats.org/drawingml/2006/main" xmlns:pic="http://schemas.openxmlformats.org/drawingml/2006/picture">
            <wp:extent cx="5486400" cy="2571238"/>
            <wp:docPr id="11" name="Picture 11"/>
            <wp:cNvGraphicFramePr>
              <a:graphicFrameLocks noChangeAspect="1"/>
            </wp:cNvGraphicFramePr>
            <a:graphic>
              <a:graphicData uri="http://schemas.openxmlformats.org/drawingml/2006/picture">
                <pic:pic>
                  <pic:nvPicPr>
                    <pic:cNvPr id="0" name="figura_11_estudiante_dashboard.png"/>
                    <pic:cNvPicPr/>
                  </pic:nvPicPr>
                  <pic:blipFill>
                    <a:blip r:embed="rId21"/>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Panel del estudiante donde se listan evaluaciones habilitadas y su historial propio. Elaboración propia (2026).</w:t>
      </w:r>
    </w:p>
    <w:p>
      <w:pPr>
        <w:spacing w:before="240" w:after="40" w:line="276" w:lineRule="auto"/>
        <w:ind w:firstLine="0"/>
      </w:pPr>
      <w:r>
        <w:rPr>
          <w:rFonts w:ascii="Times New Roman" w:hAnsi="Times New Roman"/>
          <w:b/>
          <w:color w:val="000000"/>
          <w:sz w:val="22"/>
        </w:rPr>
        <w:t>Figura 12</w:t>
      </w:r>
    </w:p>
    <w:p>
      <w:pPr>
        <w:spacing w:before="0" w:after="120" w:line="276" w:lineRule="auto"/>
        <w:ind w:firstLine="0"/>
      </w:pPr>
      <w:r>
        <w:rPr>
          <w:rFonts w:ascii="Times New Roman" w:hAnsi="Times New Roman"/>
          <w:i/>
          <w:color w:val="000000"/>
          <w:sz w:val="22"/>
        </w:rPr>
        <w:t>Reproductor de Evaluación en Vivo con Temporizador Digital Regresivo.</w:t>
      </w:r>
    </w:p>
    <w:p>
      <w:pPr>
        <w:spacing w:before="80" w:after="80"/>
        <w:ind w:firstLine="0"/>
        <w:jc w:val="center"/>
      </w:pPr>
      <w:r>
        <w:drawing>
          <wp:inline xmlns:a="http://schemas.openxmlformats.org/drawingml/2006/main" xmlns:pic="http://schemas.openxmlformats.org/drawingml/2006/picture">
            <wp:extent cx="5486400" cy="2571238"/>
            <wp:docPr id="12" name="Picture 12"/>
            <wp:cNvGraphicFramePr>
              <a:graphicFrameLocks noChangeAspect="1"/>
            </wp:cNvGraphicFramePr>
            <a:graphic>
              <a:graphicData uri="http://schemas.openxmlformats.org/drawingml/2006/picture">
                <pic:pic>
                  <pic:nvPicPr>
                    <pic:cNvPr id="0" name="figura_12_evaluacion_en_vivo.png"/>
                    <pic:cNvPicPr/>
                  </pic:nvPicPr>
                  <pic:blipFill>
                    <a:blip r:embed="rId22"/>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Interfaz del simulador durante la presentación del examen con contador regresivo. Elaboración propia (2026).</w:t>
      </w:r>
    </w:p>
    <w:p>
      <w:pPr>
        <w:spacing w:before="240" w:after="120" w:line="360" w:lineRule="auto"/>
        <w:jc w:val="left"/>
      </w:pPr>
      <w:r>
        <w:rPr>
          <w:rFonts w:ascii="Times New Roman" w:hAnsi="Times New Roman"/>
          <w:b/>
          <w:color w:val="000000"/>
          <w:sz w:val="26"/>
        </w:rPr>
        <w:t>9.2 Protección Antifraude y Ocultamiento de Respuestas Correctas</w:t>
      </w:r>
    </w:p>
    <w:p>
      <w:pPr>
        <w:spacing w:line="360" w:lineRule="auto" w:after="120" w:before="0"/>
        <w:ind w:firstLine="720"/>
        <w:jc w:val="both"/>
      </w:pPr>
      <w:r>
        <w:rPr>
          <w:rFonts w:ascii="Times New Roman" w:hAnsi="Times New Roman"/>
          <w:color w:val="000000"/>
          <w:sz w:val="24"/>
        </w:rPr>
        <w:t>Para impedir cualquier intento de fraude mediante inspección del código fuente o depuración en la consola del navegador, la vista evaluacion_en_vivo serializa las preguntas excluyendo rigurosamente el atributo es_correcta de las opciones. El navegador del estudiante recibe únicamente el identificador y el texto de cada alternativa, garantizando que sea absolutamente imposible conocer la respuesta correcta antes de finalizar la prueba.</w:t>
      </w:r>
    </w:p>
    <w:p>
      <w:pPr>
        <w:spacing w:before="240" w:after="120" w:line="360" w:lineRule="auto"/>
        <w:jc w:val="left"/>
      </w:pPr>
      <w:r>
        <w:rPr>
          <w:rFonts w:ascii="Times New Roman" w:hAnsi="Times New Roman"/>
          <w:b/>
          <w:color w:val="000000"/>
          <w:sz w:val="26"/>
        </w:rPr>
        <w:t>9.3 Algoritmo de Calificación Automática y Aislamiento de Intentos</w:t>
      </w:r>
    </w:p>
    <w:p>
      <w:pPr>
        <w:spacing w:line="360" w:lineRule="auto" w:after="120" w:before="0"/>
        <w:ind w:firstLine="720"/>
        <w:jc w:val="both"/>
      </w:pPr>
      <w:r>
        <w:rPr>
          <w:rFonts w:ascii="Times New Roman" w:hAnsi="Times New Roman"/>
          <w:color w:val="000000"/>
          <w:sz w:val="24"/>
        </w:rPr>
        <w:t>Al pulsar 'Finalizar y Entregar' o agotarse el tiempo del temporizador, la vista finalizar_evaluacion procesa el mapa de respuestas en el backend. Dentro de una transacción atómica, evalúa cada opción seleccionada contra la base de datos, acumula el puntaje obtenido y el puntaje total posible, y calcula la nota final en escala institucional proporcional a la calificacion_maxima (ej. 5.00), dictaminando si el estudiante aprobó (calificación &gt;= calificacion_aprobacion). Asimismo, se garantiza el aislamiento de seguridad mediante la validación del código institucional, imposibilitando que un estudiante consulte o altere las evaluaciones de sus compañeros.</w:t>
      </w:r>
    </w:p>
    <w:p>
      <w:pPr>
        <w:spacing w:before="240" w:after="40" w:line="276" w:lineRule="auto"/>
        <w:ind w:firstLine="0"/>
      </w:pPr>
      <w:r>
        <w:rPr>
          <w:rFonts w:ascii="Times New Roman" w:hAnsi="Times New Roman"/>
          <w:b/>
          <w:color w:val="000000"/>
          <w:sz w:val="22"/>
        </w:rPr>
        <w:t>Figura 13</w:t>
      </w:r>
    </w:p>
    <w:p>
      <w:pPr>
        <w:spacing w:before="0" w:after="120" w:line="276" w:lineRule="auto"/>
        <w:ind w:firstLine="0"/>
      </w:pPr>
      <w:r>
        <w:rPr>
          <w:rFonts w:ascii="Times New Roman" w:hAnsi="Times New Roman"/>
          <w:i/>
          <w:color w:val="000000"/>
          <w:sz w:val="22"/>
        </w:rPr>
        <w:t>Resultado y Calificación Automática Obtenida en Django.</w:t>
      </w:r>
    </w:p>
    <w:p>
      <w:pPr>
        <w:spacing w:before="80" w:after="80"/>
        <w:ind w:firstLine="0"/>
        <w:jc w:val="center"/>
      </w:pPr>
      <w:r>
        <w:drawing>
          <wp:inline xmlns:a="http://schemas.openxmlformats.org/drawingml/2006/main" xmlns:pic="http://schemas.openxmlformats.org/drawingml/2006/picture">
            <wp:extent cx="5486400" cy="2571238"/>
            <wp:docPr id="13" name="Picture 13"/>
            <wp:cNvGraphicFramePr>
              <a:graphicFrameLocks noChangeAspect="1"/>
            </wp:cNvGraphicFramePr>
            <a:graphic>
              <a:graphicData uri="http://schemas.openxmlformats.org/drawingml/2006/picture">
                <pic:pic>
                  <pic:nvPicPr>
                    <pic:cNvPr id="0" name="figura_13_resultado_evaluacion.png"/>
                    <pic:cNvPicPr/>
                  </pic:nvPicPr>
                  <pic:blipFill>
                    <a:blip r:embed="rId23"/>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Informe final tras la entrega con desglose de nota calculada, tiempo y estado de aprobación. Elaboración propia (2026).</w:t>
      </w:r>
    </w:p>
    <w:p>
      <w:pPr>
        <w:spacing w:before="240" w:after="40" w:line="276" w:lineRule="auto"/>
        <w:ind w:firstLine="0"/>
      </w:pPr>
      <w:r>
        <w:rPr>
          <w:rFonts w:ascii="Times New Roman" w:hAnsi="Times New Roman"/>
          <w:b/>
          <w:color w:val="000000"/>
          <w:sz w:val="22"/>
        </w:rPr>
        <w:t>Figura 14</w:t>
      </w:r>
    </w:p>
    <w:p>
      <w:pPr>
        <w:spacing w:before="0" w:after="120" w:line="276" w:lineRule="auto"/>
        <w:ind w:firstLine="0"/>
      </w:pPr>
      <w:r>
        <w:rPr>
          <w:rFonts w:ascii="Times New Roman" w:hAnsi="Times New Roman"/>
          <w:i/>
          <w:color w:val="000000"/>
          <w:sz w:val="22"/>
        </w:rPr>
        <w:t>Verificación de Seguridad en Servidor: Error 403 Acceso Denegado.</w:t>
      </w:r>
    </w:p>
    <w:p>
      <w:pPr>
        <w:spacing w:before="80" w:after="80"/>
        <w:ind w:firstLine="0"/>
        <w:jc w:val="center"/>
      </w:pPr>
      <w:r>
        <w:drawing>
          <wp:inline xmlns:a="http://schemas.openxmlformats.org/drawingml/2006/main" xmlns:pic="http://schemas.openxmlformats.org/drawingml/2006/picture">
            <wp:extent cx="5486400" cy="2571238"/>
            <wp:docPr id="14" name="Picture 14"/>
            <wp:cNvGraphicFramePr>
              <a:graphicFrameLocks noChangeAspect="1"/>
            </wp:cNvGraphicFramePr>
            <a:graphic>
              <a:graphicData uri="http://schemas.openxmlformats.org/drawingml/2006/picture">
                <pic:pic>
                  <pic:nvPicPr>
                    <pic:cNvPr id="0" name="figura_14_seguridad_403.png"/>
                    <pic:cNvPicPr/>
                  </pic:nvPicPr>
                  <pic:blipFill>
                    <a:blip r:embed="rId24"/>
                    <a:stretch>
                      <a:fillRect/>
                    </a:stretch>
                  </pic:blipFill>
                  <pic:spPr>
                    <a:xfrm>
                      <a:off x="0" y="0"/>
                      <a:ext cx="5486400" cy="2571238"/>
                    </a:xfrm>
                    <a:prstGeom prst="rect"/>
                  </pic:spPr>
                </pic:pic>
              </a:graphicData>
            </a:graphic>
          </wp:inline>
        </w:drawing>
      </w:r>
    </w:p>
    <w:p>
      <w:pPr>
        <w:spacing w:before="40" w:after="240" w:line="276" w:lineRule="auto"/>
        <w:ind w:firstLine="0"/>
      </w:pPr>
      <w:r>
        <w:rPr>
          <w:rFonts w:ascii="Times New Roman" w:hAnsi="Times New Roman"/>
          <w:i/>
          <w:color w:val="000000"/>
          <w:sz w:val="20"/>
        </w:rPr>
        <w:t xml:space="preserve">Nota. </w:t>
      </w:r>
      <w:r>
        <w:rPr>
          <w:rFonts w:ascii="Times New Roman" w:hAnsi="Times New Roman"/>
          <w:color w:val="000000"/>
          <w:sz w:val="20"/>
        </w:rPr>
        <w:t>Respuesta del servidor Django al intentar acceder a una vista sin los permisos del rol. Elaboración propia (2026).</w:t>
      </w:r>
    </w:p>
    <w:p>
      <w:pPr>
        <w:spacing w:before="240" w:after="120" w:line="360" w:lineRule="auto"/>
        <w:jc w:val="center"/>
      </w:pPr>
      <w:r>
        <w:rPr>
          <w:rFonts w:ascii="Times New Roman" w:hAnsi="Times New Roman"/>
          <w:b/>
          <w:color w:val="000000"/>
          <w:sz w:val="28"/>
        </w:rPr>
        <w:t>10. Matriz de Cumplimiento de la Rúbrica Evaluativa</w:t>
      </w:r>
    </w:p>
    <w:p>
      <w:pPr>
        <w:spacing w:line="360" w:lineRule="auto" w:after="120" w:before="0"/>
        <w:ind w:firstLine="0"/>
        <w:jc w:val="both"/>
      </w:pPr>
      <w:r>
        <w:rPr>
          <w:rFonts w:ascii="Times New Roman" w:hAnsi="Times New Roman"/>
          <w:color w:val="000000"/>
          <w:sz w:val="24"/>
        </w:rPr>
        <w:t>La Tabla 1 sintetiza el grado de correspondencia entre los requerimientos funcionales solicitados en el documento guía del Segundo Parcial y los componentes implementados en el código fuente de la plataforma.</w:t>
      </w:r>
    </w:p>
    <w:p>
      <w:pPr>
        <w:spacing w:before="160" w:after="40"/>
      </w:pPr>
      <w:r>
        <w:rPr>
          <w:rFonts w:ascii="Times New Roman" w:hAnsi="Times New Roman"/>
          <w:b/>
          <w:color w:val="000000"/>
          <w:sz w:val="22"/>
        </w:rPr>
        <w:t>Tabla 1</w:t>
      </w:r>
    </w:p>
    <w:p>
      <w:pPr>
        <w:spacing w:before="0" w:after="120"/>
      </w:pPr>
      <w:r>
        <w:rPr>
          <w:rFonts w:ascii="Times New Roman" w:hAnsi="Times New Roman"/>
          <w:i/>
          <w:color w:val="000000"/>
          <w:sz w:val="22"/>
        </w:rPr>
        <w:t>Matriz de Verificación y Cumplimiento de Rúbricas del Segundo Parcial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tcMar>
              <w:top w:w="80" w:type="dxa"/>
              <w:bottom w:w="80" w:type="dxa"/>
              <w:left w:w="100" w:type="dxa"/>
              <w:right w:w="100" w:type="dxa"/>
            </w:tcMar>
            <w:tcBorders>
              <w:top w:sz="12" w:val="single" w:color="000000"/>
              <w:bottom w:sz="12" w:val="single" w:color="000000"/>
            </w:tcBorders>
          </w:tcPr>
          <w:p>
            <w:pPr>
              <w:spacing w:line="276" w:lineRule="auto" w:after="0"/>
              <w:jc w:val="center"/>
            </w:pPr>
            <w:r>
              <w:rPr>
                <w:rFonts w:ascii="Times New Roman" w:hAnsi="Times New Roman"/>
                <w:b/>
                <w:color w:val="000000"/>
                <w:sz w:val="19"/>
              </w:rPr>
              <w:t>Criterio Guía</w:t>
            </w:r>
          </w:p>
        </w:tc>
        <w:tc>
          <w:tcPr>
            <w:tcW w:type="dxa" w:w="3312"/>
            <w:tcMar>
              <w:top w:w="80" w:type="dxa"/>
              <w:bottom w:w="80" w:type="dxa"/>
              <w:left w:w="100" w:type="dxa"/>
              <w:right w:w="100" w:type="dxa"/>
            </w:tcMar>
            <w:tcBorders>
              <w:top w:sz="12" w:val="single" w:color="000000"/>
              <w:bottom w:sz="12" w:val="single" w:color="000000"/>
            </w:tcBorders>
          </w:tcPr>
          <w:p>
            <w:pPr>
              <w:spacing w:line="276" w:lineRule="auto" w:after="0"/>
              <w:jc w:val="center"/>
            </w:pPr>
            <w:r>
              <w:rPr>
                <w:rFonts w:ascii="Times New Roman" w:hAnsi="Times New Roman"/>
                <w:b/>
                <w:color w:val="000000"/>
                <w:sz w:val="19"/>
              </w:rPr>
              <w:t>Requisito Exigido</w:t>
            </w:r>
          </w:p>
        </w:tc>
        <w:tc>
          <w:tcPr>
            <w:tcW w:type="dxa" w:w="2880"/>
            <w:tcMar>
              <w:top w:w="80" w:type="dxa"/>
              <w:bottom w:w="80" w:type="dxa"/>
              <w:left w:w="100" w:type="dxa"/>
              <w:right w:w="100" w:type="dxa"/>
            </w:tcMar>
            <w:tcBorders>
              <w:top w:sz="12" w:val="single" w:color="000000"/>
              <w:bottom w:sz="12" w:val="single" w:color="000000"/>
            </w:tcBorders>
          </w:tcPr>
          <w:p>
            <w:pPr>
              <w:spacing w:line="276" w:lineRule="auto" w:after="0"/>
              <w:jc w:val="center"/>
            </w:pPr>
            <w:r>
              <w:rPr>
                <w:rFonts w:ascii="Times New Roman" w:hAnsi="Times New Roman"/>
                <w:b/>
                <w:color w:val="000000"/>
                <w:sz w:val="19"/>
              </w:rPr>
              <w:t>Módulo / Archivo Implementado</w:t>
            </w:r>
          </w:p>
        </w:tc>
        <w:tc>
          <w:tcPr>
            <w:tcW w:type="dxa" w:w="1584"/>
            <w:tcMar>
              <w:top w:w="80" w:type="dxa"/>
              <w:bottom w:w="80" w:type="dxa"/>
              <w:left w:w="100" w:type="dxa"/>
              <w:right w:w="100" w:type="dxa"/>
            </w:tcMar>
            <w:tcBorders>
              <w:top w:sz="12" w:val="single" w:color="000000"/>
              <w:bottom w:sz="12" w:val="single" w:color="000000"/>
            </w:tcBorders>
          </w:tcPr>
          <w:p>
            <w:pPr>
              <w:spacing w:line="276" w:lineRule="auto" w:after="0"/>
              <w:jc w:val="center"/>
            </w:pPr>
            <w:r>
              <w:rPr>
                <w:rFonts w:ascii="Times New Roman" w:hAnsi="Times New Roman"/>
                <w:b/>
                <w:color w:val="000000"/>
                <w:sz w:val="19"/>
              </w:rPr>
              <w:t>Estado</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2.1 Autenticación JWT</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Inicio de sesión dual (usuario o correo) y emisión de access/refresh tokens.</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core/views.py (login_view), core/jwt_auth.py</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2.1 Seguridad en Servidor</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Restricción de vistas verificada en Django y control de cuentas suspendidas.</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core/decorators.py (@requiere_permiso)</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2.2 Usuarios y Roles</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Roles predeterminados (Admin/Estudiante) y roles configurables con permisos.</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core/models.py (Rol, PermisoSistema), usuarios_roles.html</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2.3 Banco de Preguntas</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CRUD completo de preguntas, organización por competencia y huella SHA-256.</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preguntas/views.py (banco, editar, toggle), preguntas/models.py</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2.3 Importador Excel</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Carga masiva mediante plantilla .xlsx en dos fases con validación previa.</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preguntas/services/importador_excel.py</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2.4 Config. Cuestionarios</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Parámetros reglamentarios y bloqueo de inicio fuera de disponibilidad.</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preguntas/views.py (configurar_cuestionario, iniciar_evaluacion)</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Pr>
          <w:p>
            <w:pPr>
              <w:spacing w:line="276" w:lineRule="auto" w:after="0"/>
              <w:jc w:val="left"/>
            </w:pPr>
            <w:r>
              <w:rPr>
                <w:rFonts w:ascii="Times New Roman" w:hAnsi="Times New Roman"/>
                <w:color w:val="000000"/>
                <w:sz w:val="19"/>
              </w:rPr>
              <w:t>2.5 Evaluación en Vivo</w:t>
            </w:r>
          </w:p>
        </w:tc>
        <w:tc>
          <w:tcPr>
            <w:tcW w:type="dxa" w:w="3312"/>
            <w:tcMar>
              <w:top w:w="80" w:type="dxa"/>
              <w:bottom w:w="80" w:type="dxa"/>
              <w:left w:w="100" w:type="dxa"/>
              <w:right w:w="100" w:type="dxa"/>
            </w:tcMar>
          </w:tcPr>
          <w:p>
            <w:pPr>
              <w:spacing w:line="276" w:lineRule="auto" w:after="0"/>
              <w:jc w:val="left"/>
            </w:pPr>
            <w:r>
              <w:rPr>
                <w:rFonts w:ascii="Times New Roman" w:hAnsi="Times New Roman"/>
                <w:color w:val="000000"/>
                <w:sz w:val="19"/>
              </w:rPr>
              <w:t>Reproductor con temporizador, sin respuestas en frontend y calificación en backend.</w:t>
            </w:r>
          </w:p>
        </w:tc>
        <w:tc>
          <w:tcPr>
            <w:tcW w:type="dxa" w:w="2880"/>
            <w:tcMar>
              <w:top w:w="80" w:type="dxa"/>
              <w:bottom w:w="80" w:type="dxa"/>
              <w:left w:w="100" w:type="dxa"/>
              <w:right w:w="100" w:type="dxa"/>
            </w:tcMar>
          </w:tcPr>
          <w:p>
            <w:pPr>
              <w:spacing w:line="276" w:lineRule="auto" w:after="0"/>
              <w:jc w:val="left"/>
            </w:pPr>
            <w:r>
              <w:rPr>
                <w:rFonts w:ascii="Times New Roman" w:hAnsi="Times New Roman"/>
                <w:color w:val="000000"/>
                <w:sz w:val="19"/>
              </w:rPr>
              <w:t>evaluacion_en_vivo.html, finalizar_evaluacion</w:t>
            </w:r>
          </w:p>
        </w:tc>
        <w:tc>
          <w:tcPr>
            <w:tcW w:type="dxa" w:w="1584"/>
            <w:tcMar>
              <w:top w:w="80" w:type="dxa"/>
              <w:bottom w:w="80" w:type="dxa"/>
              <w:left w:w="100" w:type="dxa"/>
              <w:right w:w="100" w:type="dxa"/>
            </w:tcMar>
          </w:tcPr>
          <w:p>
            <w:pPr>
              <w:spacing w:line="276" w:lineRule="auto" w:after="0"/>
              <w:jc w:val="center"/>
            </w:pPr>
            <w:r>
              <w:rPr>
                <w:rFonts w:ascii="Times New Roman" w:hAnsi="Times New Roman"/>
                <w:b/>
                <w:color w:val="000000"/>
                <w:sz w:val="19"/>
              </w:rPr>
              <w:t>Cumple al 100%</w:t>
            </w:r>
          </w:p>
        </w:tc>
      </w:tr>
      <w:tr>
        <w:tc>
          <w:tcPr>
            <w:tcW w:type="dxa" w:w="2016"/>
            <w:tcMar>
              <w:top w:w="80" w:type="dxa"/>
              <w:bottom w:w="80" w:type="dxa"/>
              <w:left w:w="100" w:type="dxa"/>
              <w:right w:w="100" w:type="dxa"/>
            </w:tcMar>
            <w:tcBorders>
              <w:bottom w:sz="12" w:val="single" w:color="000000"/>
            </w:tcBorders>
          </w:tcPr>
          <w:p>
            <w:pPr>
              <w:spacing w:line="276" w:lineRule="auto" w:after="0"/>
              <w:jc w:val="left"/>
            </w:pPr>
            <w:r>
              <w:rPr>
                <w:rFonts w:ascii="Times New Roman" w:hAnsi="Times New Roman"/>
                <w:color w:val="000000"/>
                <w:sz w:val="19"/>
              </w:rPr>
              <w:t>2.5 Aislamiento de Datos</w:t>
            </w:r>
          </w:p>
        </w:tc>
        <w:tc>
          <w:tcPr>
            <w:tcW w:type="dxa" w:w="3312"/>
            <w:tcMar>
              <w:top w:w="80" w:type="dxa"/>
              <w:bottom w:w="80" w:type="dxa"/>
              <w:left w:w="100" w:type="dxa"/>
              <w:right w:w="100" w:type="dxa"/>
            </w:tcMar>
            <w:tcBorders>
              <w:bottom w:sz="12" w:val="single" w:color="000000"/>
            </w:tcBorders>
          </w:tcPr>
          <w:p>
            <w:pPr>
              <w:spacing w:line="276" w:lineRule="auto" w:after="0"/>
              <w:jc w:val="left"/>
            </w:pPr>
            <w:r>
              <w:rPr>
                <w:rFonts w:ascii="Times New Roman" w:hAnsi="Times New Roman"/>
                <w:color w:val="000000"/>
                <w:sz w:val="19"/>
              </w:rPr>
              <w:t>Impedir consulta o modificación de intentos y notas entre estudiantes.</w:t>
            </w:r>
          </w:p>
        </w:tc>
        <w:tc>
          <w:tcPr>
            <w:tcW w:type="dxa" w:w="2880"/>
            <w:tcMar>
              <w:top w:w="80" w:type="dxa"/>
              <w:bottom w:w="80" w:type="dxa"/>
              <w:left w:w="100" w:type="dxa"/>
              <w:right w:w="100" w:type="dxa"/>
            </w:tcMar>
            <w:tcBorders>
              <w:bottom w:sz="12" w:val="single" w:color="000000"/>
            </w:tcBorders>
          </w:tcPr>
          <w:p>
            <w:pPr>
              <w:spacing w:line="276" w:lineRule="auto" w:after="0"/>
              <w:jc w:val="left"/>
            </w:pPr>
            <w:r>
              <w:rPr>
                <w:rFonts w:ascii="Times New Roman" w:hAnsi="Times New Roman"/>
                <w:color w:val="000000"/>
                <w:sz w:val="19"/>
              </w:rPr>
              <w:t>preguntas/views.py (validación participante_codigo)</w:t>
            </w:r>
          </w:p>
        </w:tc>
        <w:tc>
          <w:tcPr>
            <w:tcW w:type="dxa" w:w="1584"/>
            <w:tcMar>
              <w:top w:w="80" w:type="dxa"/>
              <w:bottom w:w="80" w:type="dxa"/>
              <w:left w:w="100" w:type="dxa"/>
              <w:right w:w="100" w:type="dxa"/>
            </w:tcMar>
            <w:tcBorders>
              <w:bottom w:sz="12" w:val="single" w:color="000000"/>
            </w:tcBorders>
          </w:tcPr>
          <w:p>
            <w:pPr>
              <w:spacing w:line="276" w:lineRule="auto" w:after="0"/>
              <w:jc w:val="center"/>
            </w:pPr>
            <w:r>
              <w:rPr>
                <w:rFonts w:ascii="Times New Roman" w:hAnsi="Times New Roman"/>
                <w:b/>
                <w:color w:val="000000"/>
                <w:sz w:val="19"/>
              </w:rPr>
              <w:t>Cumple al 100%</w:t>
            </w:r>
          </w:p>
        </w:tc>
      </w:tr>
    </w:tbl>
    <w:p>
      <w:pPr>
        <w:spacing w:before="80" w:after="240"/>
        <w:ind w:firstLine="0"/>
      </w:pPr>
      <w:r>
        <w:rPr>
          <w:rFonts w:ascii="Times New Roman" w:hAnsi="Times New Roman"/>
          <w:i/>
          <w:color w:val="000000"/>
          <w:sz w:val="20"/>
        </w:rPr>
        <w:t xml:space="preserve">Nota. </w:t>
      </w:r>
      <w:r>
        <w:rPr>
          <w:rFonts w:ascii="Times New Roman" w:hAnsi="Times New Roman"/>
          <w:color w:val="000000"/>
          <w:sz w:val="20"/>
        </w:rPr>
        <w:t>Resultados derivados de las pruebas de regresión e integración de código fuente ejecutadas en el entorno local. Elaboración propia (2026).</w:t>
      </w:r>
    </w:p>
    <w:p>
      <w:pPr>
        <w:spacing w:before="240" w:after="120" w:line="360" w:lineRule="auto"/>
        <w:jc w:val="center"/>
      </w:pPr>
      <w:r>
        <w:rPr>
          <w:rFonts w:ascii="Times New Roman" w:hAnsi="Times New Roman"/>
          <w:b/>
          <w:color w:val="000000"/>
          <w:sz w:val="28"/>
        </w:rPr>
        <w:t>11. Conclusiones y Recomendaciones</w:t>
      </w:r>
    </w:p>
    <w:p>
      <w:pPr>
        <w:spacing w:line="360" w:lineRule="auto" w:after="120" w:before="0"/>
        <w:ind w:firstLine="720"/>
        <w:jc w:val="both"/>
      </w:pPr>
      <w:r>
        <w:rPr>
          <w:rFonts w:ascii="Times New Roman" w:hAnsi="Times New Roman"/>
          <w:color w:val="000000"/>
          <w:sz w:val="24"/>
        </w:rPr>
        <w:t>La culminación de esta segunda entrega evaluativa consolida una solución de software madura, alineada con las buenas prácticas de ingeniería de software y las necesidades institucionales de la IUP. Se demostró que la separación de capas mediante el patrón MVT de Django y el empleo de JWT para la comunicación desacoplada otorgan una escalabilidad superior frente a desarrollos monolíticos dependientes únicamente de sesiones por estado.</w:t>
      </w:r>
    </w:p>
    <w:p>
      <w:pPr>
        <w:spacing w:line="360" w:lineRule="auto" w:after="120" w:before="0"/>
        <w:ind w:firstLine="720"/>
        <w:jc w:val="both"/>
      </w:pPr>
      <w:r>
        <w:rPr>
          <w:rFonts w:ascii="Times New Roman" w:hAnsi="Times New Roman"/>
          <w:color w:val="000000"/>
          <w:sz w:val="24"/>
        </w:rPr>
        <w:t>La integración del algoritmo criptográfico SHA-256 para el cálculo de huellas digitales en el banco de preguntas resuelve de raíz los riesgos de duplicidad en cargas masivas, asegurando una base de datos normalizada y confiable. Asimismo, la delegación del cálculo de calificaciones exclusivamente en el backend de Django, combinada con el ocultamiento de las respuestas en la respuesta JSON al cliente, blinda la transparencia y legitimidad del proceso evaluativo de los estudiantes.</w:t>
      </w:r>
    </w:p>
    <w:p>
      <w:pPr>
        <w:spacing w:line="360" w:lineRule="auto" w:after="120" w:before="0"/>
        <w:ind w:firstLine="720"/>
        <w:jc w:val="both"/>
      </w:pPr>
      <w:r>
        <w:rPr>
          <w:rFonts w:ascii="Times New Roman" w:hAnsi="Times New Roman"/>
          <w:color w:val="000000"/>
          <w:sz w:val="24"/>
        </w:rPr>
        <w:t>Como recomendación para las fases subsiguientes, se sugiere explorar la generación automática de reportes consolidados en PDF para entrega inmediata a decanatura y la incorporación de analíticas de dificultad psicométrica basadas en la teoría de respuesta al ítem (TRI).</w:t>
      </w:r>
    </w:p>
    <w:p>
      <w:r>
        <w:br w:type="page"/>
      </w:r>
    </w:p>
    <w:p>
      <w:pPr>
        <w:spacing w:before="240" w:after="120" w:line="360" w:lineRule="auto"/>
        <w:jc w:val="center"/>
      </w:pPr>
      <w:r>
        <w:rPr>
          <w:rFonts w:ascii="Times New Roman" w:hAnsi="Times New Roman"/>
          <w:b/>
          <w:color w:val="000000"/>
          <w:sz w:val="28"/>
        </w:rPr>
        <w:t>Referencias</w:t>
      </w:r>
    </w:p>
    <w:p>
      <w:pPr>
        <w:spacing w:line="360" w:lineRule="auto" w:after="120"/>
        <w:ind w:left="720" w:hanging="720"/>
      </w:pPr>
      <w:r>
        <w:rPr>
          <w:rFonts w:ascii="Times New Roman" w:hAnsi="Times New Roman"/>
          <w:color w:val="000000"/>
          <w:sz w:val="22"/>
        </w:rPr>
        <w:t xml:space="preserve">American Psychological Association. (2020). </w:t>
      </w:r>
      <w:r>
        <w:rPr>
          <w:rFonts w:ascii="Times New Roman" w:hAnsi="Times New Roman"/>
          <w:i/>
          <w:color w:val="000000"/>
          <w:sz w:val="22"/>
        </w:rPr>
        <w:t xml:space="preserve">Publication manual of the American Psychological Association </w:t>
      </w:r>
      <w:r>
        <w:rPr>
          <w:rFonts w:ascii="Times New Roman" w:hAnsi="Times New Roman"/>
          <w:color w:val="000000"/>
          <w:sz w:val="22"/>
        </w:rPr>
        <w:t>(7th ed.). https://doi.org/10.1037/0000165-000</w:t>
      </w:r>
    </w:p>
    <w:p>
      <w:pPr>
        <w:spacing w:line="360" w:lineRule="auto" w:after="120"/>
        <w:ind w:left="720" w:hanging="720"/>
      </w:pPr>
      <w:r>
        <w:rPr>
          <w:rFonts w:ascii="Times New Roman" w:hAnsi="Times New Roman"/>
          <w:color w:val="000000"/>
          <w:sz w:val="22"/>
        </w:rPr>
        <w:t xml:space="preserve">Centro de Escritura Javeriano. (2020). </w:t>
      </w:r>
      <w:r>
        <w:rPr>
          <w:rFonts w:ascii="Times New Roman" w:hAnsi="Times New Roman"/>
          <w:i/>
          <w:color w:val="000000"/>
          <w:sz w:val="22"/>
        </w:rPr>
        <w:t xml:space="preserve">Normas APA, séptima edición. </w:t>
      </w:r>
      <w:r>
        <w:rPr>
          <w:rFonts w:ascii="Times New Roman" w:hAnsi="Times New Roman"/>
          <w:color w:val="000000"/>
          <w:sz w:val="22"/>
        </w:rPr>
        <w:t>Pontificia Universidad Javeriana, seccional Cali. https://www.javerianacali.edu.co/centro-escritura/recursos/manual-de-normas-apa</w:t>
      </w:r>
    </w:p>
    <w:p>
      <w:pPr>
        <w:spacing w:line="360" w:lineRule="auto" w:after="120"/>
        <w:ind w:left="720" w:hanging="720"/>
      </w:pPr>
      <w:r>
        <w:rPr>
          <w:rFonts w:ascii="Times New Roman" w:hAnsi="Times New Roman"/>
          <w:color w:val="000000"/>
          <w:sz w:val="22"/>
        </w:rPr>
        <w:t xml:space="preserve">Django Software Foundation. (2024). </w:t>
      </w:r>
      <w:r>
        <w:rPr>
          <w:rFonts w:ascii="Times New Roman" w:hAnsi="Times New Roman"/>
          <w:i/>
          <w:color w:val="000000"/>
          <w:sz w:val="22"/>
        </w:rPr>
        <w:t xml:space="preserve">Django documentation (Version 6.1). </w:t>
      </w:r>
      <w:r>
        <w:rPr>
          <w:rFonts w:ascii="Times New Roman" w:hAnsi="Times New Roman"/>
          <w:color w:val="000000"/>
          <w:sz w:val="22"/>
        </w:rPr>
        <w:t>https://docs.djangoproject.com/</w:t>
      </w:r>
    </w:p>
    <w:p>
      <w:pPr>
        <w:spacing w:line="360" w:lineRule="auto" w:after="120"/>
        <w:ind w:left="720" w:hanging="720"/>
      </w:pPr>
      <w:r>
        <w:rPr>
          <w:rFonts w:ascii="Times New Roman" w:hAnsi="Times New Roman"/>
          <w:color w:val="000000"/>
          <w:sz w:val="22"/>
        </w:rPr>
        <w:t xml:space="preserve">Instituto Colombiano para la Evaluación de la Educación [ICFES]. (2023). </w:t>
      </w:r>
      <w:r>
        <w:rPr>
          <w:rFonts w:ascii="Times New Roman" w:hAnsi="Times New Roman"/>
          <w:i/>
          <w:color w:val="000000"/>
          <w:sz w:val="22"/>
        </w:rPr>
        <w:t xml:space="preserve">Guía de orientación módulos genéricos Saber TyT 2023-2. </w:t>
      </w:r>
      <w:r>
        <w:rPr>
          <w:rFonts w:ascii="Times New Roman" w:hAnsi="Times New Roman"/>
          <w:color w:val="000000"/>
          <w:sz w:val="22"/>
        </w:rPr>
        <w:t>Dirección de Evaluación, ICFES.</w:t>
      </w:r>
    </w:p>
    <w:p>
      <w:pPr>
        <w:spacing w:line="360" w:lineRule="auto" w:after="120"/>
        <w:ind w:left="720" w:hanging="720"/>
      </w:pPr>
      <w:r>
        <w:rPr>
          <w:rFonts w:ascii="Times New Roman" w:hAnsi="Times New Roman"/>
          <w:color w:val="000000"/>
          <w:sz w:val="22"/>
        </w:rPr>
        <w:t xml:space="preserve">Jones, M., Bradley, J. y Sakimura, N. (2015). </w:t>
      </w:r>
      <w:r>
        <w:rPr>
          <w:rFonts w:ascii="Times New Roman" w:hAnsi="Times New Roman"/>
          <w:i/>
          <w:color w:val="000000"/>
          <w:sz w:val="22"/>
        </w:rPr>
        <w:t xml:space="preserve">JSON Web Token (JWT) (RFC 7519). </w:t>
      </w:r>
      <w:r>
        <w:rPr>
          <w:rFonts w:ascii="Times New Roman" w:hAnsi="Times New Roman"/>
          <w:color w:val="000000"/>
          <w:sz w:val="22"/>
        </w:rPr>
        <w:t>Internet Engineering Task Force (IETF). https://doi.org/10.17487/RFC7519</w:t>
      </w:r>
    </w:p>
    <w:p>
      <w:pPr>
        <w:spacing w:line="360" w:lineRule="auto" w:after="120"/>
        <w:ind w:left="720" w:hanging="720"/>
      </w:pPr>
      <w:r>
        <w:rPr>
          <w:rFonts w:ascii="Times New Roman" w:hAnsi="Times New Roman"/>
          <w:color w:val="000000"/>
          <w:sz w:val="22"/>
        </w:rPr>
        <w:t xml:space="preserve">OpenPyXL Development Team. (2023). </w:t>
      </w:r>
      <w:r>
        <w:rPr>
          <w:rFonts w:ascii="Times New Roman" w:hAnsi="Times New Roman"/>
          <w:i/>
          <w:color w:val="000000"/>
          <w:sz w:val="22"/>
        </w:rPr>
        <w:t xml:space="preserve">openpyxl - A Python library to read/write Excel 2010 xlsx/xlsm files (Version 3.1). </w:t>
      </w:r>
      <w:r>
        <w:rPr>
          <w:rFonts w:ascii="Times New Roman" w:hAnsi="Times New Roman"/>
          <w:color w:val="000000"/>
          <w:sz w:val="22"/>
        </w:rPr>
        <w:t>https://openpyxl.readthedocs.io/</w:t>
      </w:r>
    </w:p>
    <w:p>
      <w:pPr>
        <w:spacing w:line="360" w:lineRule="auto" w:after="120"/>
        <w:ind w:left="720" w:hanging="720"/>
      </w:pPr>
      <w:r>
        <w:rPr>
          <w:rFonts w:ascii="Times New Roman" w:hAnsi="Times New Roman"/>
          <w:color w:val="000000"/>
          <w:sz w:val="22"/>
        </w:rPr>
        <w:t xml:space="preserve">Oracle Corporation. (2024). </w:t>
      </w:r>
      <w:r>
        <w:rPr>
          <w:rFonts w:ascii="Times New Roman" w:hAnsi="Times New Roman"/>
          <w:i/>
          <w:color w:val="000000"/>
          <w:sz w:val="22"/>
        </w:rPr>
        <w:t xml:space="preserve">MySQL 8.0 Reference Manual. </w:t>
      </w:r>
      <w:r>
        <w:rPr>
          <w:rFonts w:ascii="Times New Roman" w:hAnsi="Times New Roman"/>
          <w:color w:val="000000"/>
          <w:sz w:val="22"/>
        </w:rPr>
        <w:t>Oracle. https://dev.mysql.com/doc/refman/8.0/en/</w:t>
      </w:r>
    </w:p>
    <w:p>
      <w:pPr>
        <w:spacing w:line="360" w:lineRule="auto" w:after="120"/>
        <w:ind w:left="720" w:hanging="720"/>
      </w:pPr>
      <w:r>
        <w:rPr>
          <w:rFonts w:ascii="Times New Roman" w:hAnsi="Times New Roman"/>
          <w:color w:val="000000"/>
          <w:sz w:val="22"/>
        </w:rPr>
        <w:t xml:space="preserve">SimpleJWT Project. (2024). </w:t>
      </w:r>
      <w:r>
        <w:rPr>
          <w:rFonts w:ascii="Times New Roman" w:hAnsi="Times New Roman"/>
          <w:i/>
          <w:color w:val="000000"/>
          <w:sz w:val="22"/>
        </w:rPr>
        <w:t xml:space="preserve">Django REST framework SimpleJWT documentation. </w:t>
      </w:r>
      <w:r>
        <w:rPr>
          <w:rFonts w:ascii="Times New Roman" w:hAnsi="Times New Roman"/>
          <w:color w:val="000000"/>
          <w:sz w:val="22"/>
        </w:rPr>
        <w:t>https://django-rest-framework-simplejwt.readthedocs.io/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20"/>
      <w:jc w:val="center"/>
    </w:pPr>
    <w:r>
      <w:rPr>
        <w:rFonts w:ascii="Times New Roman" w:hAnsi="Times New Roman"/>
        <w:color w:val="000000"/>
        <w:sz w:val="16"/>
      </w:rPr>
      <w:t>Edificio Sede Aire Libre, Barrio Luis Carlos Galán - Mocoa, Putumayo</w:t>
    </w:r>
  </w:p>
  <w:p>
    <w:pPr>
      <w:spacing w:before="0" w:after="20"/>
      <w:jc w:val="center"/>
    </w:pPr>
    <w:r>
      <w:rPr>
        <w:rFonts w:ascii="Times New Roman" w:hAnsi="Times New Roman"/>
        <w:color w:val="000000"/>
        <w:sz w:val="15"/>
      </w:rPr>
      <w:t>Sede Mocoa: 3138052807 · Subsede Sibundoy: 3102434689 · Ampliación Valle del Guamuez: 3103284620 · Puerto Asís: 3103307326</w:t>
    </w:r>
  </w:p>
  <w:p>
    <w:pPr>
      <w:spacing w:before="0" w:after="0"/>
      <w:jc w:val="center"/>
    </w:pPr>
    <w:r>
      <w:rPr>
        <w:rFonts w:ascii="Times New Roman" w:hAnsi="Times New Roman"/>
        <w:color w:val="000000"/>
        <w:sz w:val="15"/>
      </w:rPr>
      <w:t>http://www.itp.edu.co · Email: atencionalusuario@itp.edu.co · Vigilada Mineducación / SNIES No. 3115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drawing>
        <wp:inline xmlns:a="http://schemas.openxmlformats.org/drawingml/2006/main" xmlns:pic="http://schemas.openxmlformats.org/drawingml/2006/picture">
          <wp:extent cx="5303520" cy="1712595"/>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03520" cy="1712595"/>
                  </a:xfrm>
                  <a:prstGeom prst="rect"/>
                </pic:spPr>
              </pic:pic>
            </a:graphicData>
          </a:graphic>
        </wp:inline>
      </w:drawing>
    </w:r>
  </w:p>
  <w:p>
    <w:pPr>
      <w:spacing w:before="80" w:after="40"/>
      <w:jc w:val="center"/>
    </w:pPr>
    <w:r>
      <w:rPr>
        <w:rFonts w:ascii="Times New Roman" w:hAnsi="Times New Roman"/>
        <w:b/>
        <w:color w:val="000000"/>
        <w:sz w:val="18"/>
      </w:rPr>
      <w:t>FACULTAD DE INGENIERÍA | PROGRAMA DE INGENIERÍA DE SISTEMAS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