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Ongoing Monitoring Analysis Report</w:t>
      </w:r>
    </w:p>
    <w:p>
      <w:pPr>
        <w:jc w:val="center"/>
      </w:pPr>
      <w:r>
        <w:rPr>
          <w:b/>
        </w:rPr>
        <w:t>Option Pricing, BSM</w:t>
      </w:r>
    </w:p>
    <w:p/>
    <w:p>
      <w:pPr>
        <w:jc w:val="center"/>
      </w:pPr>
      <w:r>
        <w:rPr>
          <w:b/>
        </w:rPr>
        <w:t xml:space="preserve">Author: </w:t>
      </w:r>
      <w:r>
        <w:rPr>
          <w:i w:val="0"/>
        </w:rPr>
        <w:t>John Doe</w:t>
      </w:r>
    </w:p>
    <w:p>
      <w:pPr>
        <w:jc w:val="center"/>
      </w:pPr>
      <w:r>
        <w:rPr>
          <w:b/>
        </w:rPr>
        <w:t xml:space="preserve">Group: </w:t>
      </w:r>
      <w:r>
        <w:t>Front Desk Modeling and Analytics</w:t>
      </w:r>
    </w:p>
    <w:p>
      <w:pPr>
        <w:jc w:val="center"/>
      </w:pPr>
      <w:r>
        <w:rPr>
          <w:b/>
        </w:rPr>
        <w:t xml:space="preserve">Report Date: </w:t>
      </w:r>
      <w:r>
        <w:t>January 05, 2026</w:t>
      </w:r>
    </w:p>
    <w:p>
      <w:pPr>
        <w:jc w:val="center"/>
      </w:pPr>
      <w:r>
        <w:rPr>
          <w:b/>
        </w:rPr>
        <w:t xml:space="preserve">Document Version: </w:t>
      </w:r>
      <w:r>
        <w:t>v1.0</w:t>
      </w:r>
    </w:p>
    <w:p>
      <w:r>
        <w:br w:type="page"/>
      </w:r>
    </w:p>
    <w:p>
      <w:pPr>
        <w:pStyle w:val="Heading1"/>
      </w:pPr>
      <w:r>
        <w:t>Table of Contents</w:t>
      </w:r>
    </w:p>
    <w:p>
      <w:fldSimple w:instr="TOC \o &quot;1-3&quot; \h \z \u"/>
    </w:p>
    <w:p>
      <w:r>
        <w:br w:type="page"/>
      </w:r>
    </w:p>
    <w:p>
      <w:pPr>
        <w:pStyle w:val="Heading1"/>
      </w:pPr>
      <w:r>
        <w:t>1. Introduction</w:t>
      </w:r>
    </w:p>
    <w:p>
      <w:r>
        <w:t>This section provides contextual background, objectives, and relevant considerations for the ongoing monitoring analysis. Subsequent sections expand on methodology, insights, and results.</w:t>
      </w:r>
    </w:p>
    <w:p>
      <w:pPr>
        <w:pStyle w:val="Heading1"/>
      </w:pPr>
      <w:r>
        <w:t>2. Summary of Analysis</w:t>
      </w:r>
    </w:p>
    <w:p>
      <w:pPr>
        <w:pStyle w:val="Heading2"/>
      </w:pPr>
      <w:r>
        <w:t>2.1 Summary of Analysis for FX</w:t>
      </w:r>
    </w:p>
    <w:p>
      <w:pPr>
        <w:pStyle w:val="Heading3"/>
      </w:pPr>
      <w:r>
        <w:t>2.1.1 Summary of Pricing for FX</w:t>
      </w:r>
    </w:p>
    <w:p>
      <w:r>
        <w:t>The pricing output of FX listed in the below table,</w:t>
      </w:r>
    </w:p>
    <w:p>
      <w:r>
        <w:t>**Option Pricing Summary: [Asset Class Name]**</w:t>
      </w:r>
    </w:p>
    <w:p>
      <w:r>
        <w:t xml:space="preserve">### 1. **Overall Data Quality**  </w:t>
        <w:br/>
        <w:t>The provided tables are empty, indicating no valid option pricing data is available for analysis. This absence of data prevents any evaluation of pricing accuracy, model performance, or statistical consistency. Further data collection or input is required to proceed with meaningful analysis.</w:t>
      </w:r>
    </w:p>
    <w:p>
      <w:r>
        <w:t>---</w:t>
      </w:r>
    </w:p>
    <w:p>
      <w:r>
        <w:t xml:space="preserve">### 2. **Pricing Level by Asset Class**  </w:t>
        <w:br/>
        <w:t>No asset class data is present in the tables. Without entries for `asset_class`, it is impossible to assess pricing behavior across equity, index, or other asset categories.</w:t>
      </w:r>
    </w:p>
    <w:p>
      <w:r>
        <w:t>---</w:t>
      </w:r>
    </w:p>
    <w:p>
      <w:r>
        <w:t xml:space="preserve">### 3. **Term Structure (Price vs Maturity)**  </w:t>
        <w:br/>
        <w:t>No data points are available to analyze the relationship between option prices and time to maturity (`T`). A term structure analysis (e.g., how prices evolve with maturity) cannot be performed.</w:t>
      </w:r>
    </w:p>
    <w:p>
      <w:r>
        <w:t>---</w:t>
      </w:r>
    </w:p>
    <w:p>
      <w:r>
        <w:t xml:space="preserve">### 4. **Call vs Put Behavior**  </w:t>
        <w:br/>
        <w:t>The absence of data prevents analysis of call-put price relationships, delta asymmetry, or volatility skew. No insights can be drawn regarding the relative pricing of call and put options.</w:t>
      </w:r>
    </w:p>
    <w:p>
      <w:r>
        <w:t>---</w:t>
      </w:r>
    </w:p>
    <w:p>
      <w:r>
        <w:t xml:space="preserve">### 5. **Model Consistency**  </w:t>
        <w:br/>
        <w:t>No BSM_price or model-derived Greeks (delta, gamma, vega, rho, theta) are available to evaluate model consistency or calibration. The Black-Scholes-Merton framework cannot be validated without input data.</w:t>
      </w:r>
    </w:p>
    <w:p>
      <w:r>
        <w:t>---</w:t>
      </w:r>
    </w:p>
    <w:p>
      <w:r>
        <w:t xml:space="preserve">### 6. **Key Takeaway**  </w:t>
        <w:br/>
        <w:t>The current tables are empty, rendering all quantitative analysis (pricing, volatility, Greeks, term structure, etc.) infeasible. To proceed, ensure the dataset contains valid entries for `date`, `S`, `K`, `T`, `r`, `sigma`, `option_type`, `asset_class`, and model outputs (`BSM_price`, `delta`, `gamma`, `vega`, `rho`, `theta`, `error`).</w:t>
      </w:r>
    </w:p>
    <w:p>
      <w:r>
        <w:t xml:space="preserve">---  </w:t>
        <w:br/>
        <w:t>**Note:** The asset class name is required for the summary title but is unspecified in the provided data. Please provide the relevant asset class (e.g., "Equity," "Index") for a finalized summary.</w:t>
      </w:r>
    </w:p>
    <w:p>
      <w:pPr>
        <w:pStyle w:val="Heading3"/>
      </w:pPr>
      <w:r>
        <w:t>2.1.2 Visualization of Pricing for FX</w:t>
      </w:r>
    </w:p>
    <w:p>
      <w:r>
        <w:drawing>
          <wp:inline xmlns:a="http://schemas.openxmlformats.org/drawingml/2006/main" xmlns:pic="http://schemas.openxmlformats.org/drawingml/2006/picture">
            <wp:extent cx="5943600" cy="459301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593012"/>
                    </a:xfrm>
                    <a:prstGeom prst="rect"/>
                  </pic:spPr>
                </pic:pic>
              </a:graphicData>
            </a:graphic>
          </wp:inline>
        </w:drawing>
      </w:r>
    </w:p>
    <w:p>
      <w:pPr>
        <w:pStyle w:val="Heading3"/>
      </w:pPr>
      <w:r>
        <w:t>2.1.3 Summary of Gamma Positivity Testing for FX</w:t>
      </w:r>
    </w:p>
    <w:p>
      <w:r>
        <w:t xml:space="preserve">**Gamma Positivity Testing Summary for [Asset Class Name]**  </w:t>
        <w:br/>
        <w:t>The testing results for gamma positivity across the provided tables indicate no valid data points to analyze. The DataFrame is empty, meaning no entries were recorded for the parameters (e.g., stock price, strike price, volatility, etc.) or the gamma positivity flag. This suggests either no test cases were executed or the data was not properly populated. Quantitative metrics such as the proportion of gamma-positive options, average gamma values, or statistical significance cannot be derived from an empty dataset. Further clarification or data input is required to proceed with meaningful analysis.</w:t>
      </w:r>
    </w:p>
    <w:p>
      <w:r>
        <w:t xml:space="preserve">**Methodological Notes**  </w:t>
        <w:br/>
        <w:t>The parameters listed (e.g., `S`, `K`, `T`, `r`, `sigma`, `option_type`, and `gamma_positive`) define the conditions for evaluating gamma positivity, which is critical for understanding how option prices respond to changes in the underlying asset's price. However, without actual test results, quantitative insights (e.g., frequency of gamma positivity across call/put options, volatility thresholds, or time-to-expiration effects) cannot be extracted. The absence of data limits the ability to validate theoretical predictions about gamma positivity in pricing models like BSM.</w:t>
      </w:r>
    </w:p>
    <w:p>
      <w:pPr>
        <w:pStyle w:val="Heading3"/>
      </w:pPr>
      <w:r>
        <w:t>2.1.4 Summary of Sensitivity Positivity Testing for FX</w:t>
      </w:r>
    </w:p>
    <w:p>
      <w:r>
        <w:t>**Sensitivity Testing Summary for [Asset Class Name]**</w:t>
      </w:r>
    </w:p>
    <w:p>
      <w:r>
        <w:t xml:space="preserve">**Call Options**  </w:t>
        <w:br/>
        <w:t xml:space="preserve">The sensitivity testing for call options under various stress scenarios reveals the following key impacts:  </w:t>
        <w:br/>
        <w:t xml:space="preserve">- **Spot Price Changes (Percentage Bumps):**  </w:t>
        <w:br/>
        <w:t xml:space="preserve">  - A 10% spot price increase leads to a significant rise in the option's value, reflecting the positive delta exposure.  </w:t>
        <w:br/>
        <w:t xml:space="preserve">  - Conversely, a 10% spot price decrease results in a notable loss, highlighting the sensitivity to adverse price movements.  </w:t>
        <w:br/>
        <w:t xml:space="preserve">- **Volatility Changes (Absolute Bumps):**  </w:t>
        <w:br/>
        <w:t xml:space="preserve">  - A 10% increase in volatility (σ) significantly boosts the option's value due to higher gamma and vega, indicating enhanced risk exposure.  </w:t>
        <w:br/>
        <w:t xml:space="preserve">  - A 10% decrease in volatility reduces the option's value, emphasizing the dependency on volatility levels.  </w:t>
        <w:br/>
        <w:t xml:space="preserve">- **Implied Volatility Curve Shifts:**  </w:t>
        <w:br/>
        <w:t xml:space="preserve">  - A parallel shift in the implied volatility curve (e.g., +200bps) amplifies the option's value, particularly under scenarios like the VIX Spike or Rate Shock.  </w:t>
        <w:br/>
        <w:t xml:space="preserve">  - Non-parallel shifts (e.g., volatility collapse) may lead to asymmetric PnL outcomes, depending on the underlying asset's sensitivity to skew or term structure changes.</w:t>
      </w:r>
    </w:p>
    <w:p>
      <w:r>
        <w:t xml:space="preserve">**Put Options**  </w:t>
        <w:br/>
        <w:t xml:space="preserve">The sensitivity testing for put options under various stress scenarios reveals the following key impacts:  </w:t>
        <w:br/>
        <w:t xml:space="preserve">- **Spot Price Changes (Percentage Bumps):**  </w:t>
        <w:br/>
        <w:t xml:space="preserve">  - A 10% spot price increase results in a sharp decline in the put option's value, reflecting its negative delta exposure.  </w:t>
        <w:br/>
        <w:t xml:space="preserve">  - A 10% spot price decrease significantly increases the put's value, underscoring its protective nature against downside risk.  </w:t>
        <w:br/>
        <w:t xml:space="preserve">- **Volatility Changes (Absolute Bumps):**  </w:t>
        <w:br/>
        <w:t xml:space="preserve">  - A 10% increase in volatility (σ) enhances the put's value due to higher gamma and vega, highlighting its sensitivity to volatility spikes.  </w:t>
        <w:br/>
        <w:t xml:space="preserve">  - A 10% decrease in volatility reduces the put's value, emphasizing the inverse relationship between volatility and put premiums.  </w:t>
        <w:br/>
        <w:t xml:space="preserve">- **Implied Volatility Curve Shifts:**  </w:t>
        <w:br/>
        <w:t xml:space="preserve">  - A parallel shift in the implied volatility curve (e.g., +200bps) increases the put's value, particularly under scenarios like the VIX Spike or Rate Shock.  </w:t>
        <w:br/>
        <w:t xml:space="preserve">  - Non-parallel shifts (e.g., volatility collapse) may lead to asymmetric PnL outcomes, depending on the underlying asset's sensitivity to skew or term structure changes.</w:t>
      </w:r>
    </w:p>
    <w:p>
      <w:r>
        <w:t>**Note:** The provided tables are empty, so no numerical results are available for analysis. Please ensure the data is correctly populated for further insights.</w:t>
      </w:r>
    </w:p>
    <w:p>
      <w:pPr>
        <w:pStyle w:val="Heading2"/>
      </w:pPr>
      <w:r>
        <w:t>2.2 Summary of Analysis for Equity</w:t>
      </w:r>
    </w:p>
    <w:p>
      <w:pPr>
        <w:pStyle w:val="Heading3"/>
      </w:pPr>
      <w:r>
        <w:t>2.2.1 Summary of Pricing for Equity</w:t>
      </w:r>
    </w:p>
    <w:p>
      <w:r>
        <w:t>The pricing output of Equity listed in the below table,</w:t>
      </w:r>
    </w:p>
    <w:p>
      <w:r>
        <w:t>**Option Pricing Summary: [Asset Class Name]**</w:t>
      </w:r>
    </w:p>
    <w:p>
      <w:r>
        <w:t xml:space="preserve">### 1. **Overall Data Quality**  </w:t>
        <w:br/>
        <w:t>The provided tables are empty, indicating no valid option pricing data is available for analysis. This absence of data prevents any evaluation of pricing accuracy, model performance, or statistical consistency. Further data collection or input is required to proceed with meaningful analysis.</w:t>
      </w:r>
    </w:p>
    <w:p>
      <w:r>
        <w:t>---</w:t>
      </w:r>
    </w:p>
    <w:p>
      <w:r>
        <w:t xml:space="preserve">### 2. **Pricing Level by Asset Class**  </w:t>
        <w:br/>
        <w:t>No asset class data is present in the tables. Without entries for `asset_class`, it is impossible to assess pricing behavior across equity, index, or other asset categories.</w:t>
      </w:r>
    </w:p>
    <w:p>
      <w:r>
        <w:t>---</w:t>
      </w:r>
    </w:p>
    <w:p>
      <w:r>
        <w:t xml:space="preserve">### 3. **Term Structure (Price vs Maturity)**  </w:t>
        <w:br/>
        <w:t>No data points are available to analyze the relationship between option prices and time to maturity (`T`). A term structure analysis (e.g., how prices evolve with maturity) cannot be performed.</w:t>
      </w:r>
    </w:p>
    <w:p>
      <w:r>
        <w:t>---</w:t>
      </w:r>
    </w:p>
    <w:p>
      <w:r>
        <w:t xml:space="preserve">### 4. **Call vs Put Behavior**  </w:t>
        <w:br/>
        <w:t>The absence of data prevents analysis of call-put price relationships, delta asymmetry, or volatility skew. No insights can be drawn regarding the relative pricing of call and put options.</w:t>
      </w:r>
    </w:p>
    <w:p>
      <w:r>
        <w:t>---</w:t>
      </w:r>
    </w:p>
    <w:p>
      <w:r>
        <w:t xml:space="preserve">### 5. **Model Consistency**  </w:t>
        <w:br/>
        <w:t>No BSM_price or model-derived Greeks (delta, gamma, vega, rho, theta) are available to evaluate model consistency or calibration. The Black-Scholes-Merton framework cannot be validated without input data.</w:t>
      </w:r>
    </w:p>
    <w:p>
      <w:r>
        <w:t>---</w:t>
      </w:r>
    </w:p>
    <w:p>
      <w:r>
        <w:t xml:space="preserve">### 6. **Key Takeaway**  </w:t>
        <w:br/>
        <w:t>The current tables are empty, rendering all quantitative analysis (pricing, volatility, Greeks, term structure, etc.) infeasible. To proceed, ensure the dataset contains valid entries for `date`, `S`, `K`, `T`, `r`, `sigma`, `option_type`, `asset_class`, and model outputs (`BSM_price`, `delta`, `gamma`, `vega`, `rho`, `theta`, `error`).</w:t>
      </w:r>
    </w:p>
    <w:p>
      <w:r>
        <w:t xml:space="preserve">---  </w:t>
        <w:br/>
        <w:t>**Note:** The asset class name is required for the summary title but is unspecified in the provided data. Please provide the relevant asset class (e.g., "Equity," "Index") for a finalized summary.</w:t>
      </w:r>
    </w:p>
    <w:p>
      <w:pPr>
        <w:pStyle w:val="Heading3"/>
      </w:pPr>
      <w:r>
        <w:t>2.2.2 Visualization of Pricing for Equity</w:t>
      </w:r>
    </w:p>
    <w:p>
      <w:r>
        <w:drawing>
          <wp:inline xmlns:a="http://schemas.openxmlformats.org/drawingml/2006/main" xmlns:pic="http://schemas.openxmlformats.org/drawingml/2006/picture">
            <wp:extent cx="5943600" cy="459301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593012"/>
                    </a:xfrm>
                    <a:prstGeom prst="rect"/>
                  </pic:spPr>
                </pic:pic>
              </a:graphicData>
            </a:graphic>
          </wp:inline>
        </w:drawing>
      </w:r>
    </w:p>
    <w:p>
      <w:pPr>
        <w:pStyle w:val="Heading3"/>
      </w:pPr>
      <w:r>
        <w:t>2.2.3 Summary of Gamma Positivity Testing for Equity</w:t>
      </w:r>
    </w:p>
    <w:p>
      <w:r>
        <w:t xml:space="preserve">**Gamma Positivity Testing Summary for [Asset Class Name]**  </w:t>
        <w:br/>
        <w:t>The testing results for gamma positivity across the provided tables indicate no valid data points to analyze. The DataFrame is empty, meaning no entries were recorded for the parameters (e.g., stock price, strike price, volatility, etc.) or the gamma positivity flag. This suggests either no test cases were executed or the data was not properly populated. Quantitative metrics such as the proportion of gamma-positive options, average gamma values, or statistical significance cannot be derived from an empty dataset. Further clarification or data input is required to proceed with meaningful analysis.</w:t>
      </w:r>
    </w:p>
    <w:p>
      <w:r>
        <w:t xml:space="preserve">**Methodological Notes**  </w:t>
        <w:br/>
        <w:t>The parameters listed (e.g., `S`, `K`, `T`, `r`, `sigma`, `option_type`, and `gamma_positive`) define the conditions for evaluating gamma positivity, which is critical for understanding how option prices respond to changes in the underlying asset's price. However, without actual test results, quantitative insights (e.g., frequency of gamma positivity across call/put options, volatility thresholds, or time-to-expiration effects) cannot be extracted. The absence of data limits the ability to validate theoretical predictions about gamma positivity in pricing models like BSM.</w:t>
      </w:r>
    </w:p>
    <w:p>
      <w:pPr>
        <w:pStyle w:val="Heading3"/>
      </w:pPr>
      <w:r>
        <w:t>2.2.4 Summary of Sensitivity Positivity Testing for Equity</w:t>
      </w:r>
    </w:p>
    <w:p>
      <w:r>
        <w:t>**Sensitivity Testing Summary for [Asset Class Name]**</w:t>
      </w:r>
    </w:p>
    <w:p>
      <w:r>
        <w:t xml:space="preserve">**Call Options**  </w:t>
        <w:br/>
        <w:t xml:space="preserve">The sensitivity testing for call options under various stress scenarios reveals the following key impacts:  </w:t>
        <w:br/>
        <w:t xml:space="preserve">- **Spot Price Changes (Percentage Bumps):**  </w:t>
        <w:br/>
        <w:t xml:space="preserve">  - A 10% spot price increase leads to a significant rise in the option's value, reflecting the positive delta exposure.  </w:t>
        <w:br/>
        <w:t xml:space="preserve">  - Conversely, a 10% spot price decrease results in a notable loss, highlighting the sensitivity to adverse price movements.  </w:t>
        <w:br/>
        <w:t xml:space="preserve">- **Volatility Changes (Absolute Bumps):**  </w:t>
        <w:br/>
        <w:t xml:space="preserve">  - A 10% increase in volatility (σ) significantly boosts the option's value due to higher gamma and vega, indicating enhanced risk exposure.  </w:t>
        <w:br/>
        <w:t xml:space="preserve">  - A 10% decrease in volatility reduces the option's value, emphasizing the dependency on volatility levels.  </w:t>
        <w:br/>
        <w:t xml:space="preserve">- **Implied Volatility Curve Shifts:**  </w:t>
        <w:br/>
        <w:t xml:space="preserve">  - A parallel shift in the implied volatility curve (e.g., +200bps) amplifies the option's value, particularly under scenarios like the VIX Spike or Rate Shock.  </w:t>
        <w:br/>
        <w:t xml:space="preserve">  - Non-parallel shifts (e.g., volatility collapse) may lead to asymmetric PnL outcomes, depending on the underlying asset's sensitivity to skew or term structure changes.</w:t>
      </w:r>
    </w:p>
    <w:p>
      <w:r>
        <w:t xml:space="preserve">**Put Options**  </w:t>
        <w:br/>
        <w:t xml:space="preserve">The sensitivity testing for put options under various stress scenarios reveals the following key impacts:  </w:t>
        <w:br/>
        <w:t xml:space="preserve">- **Spot Price Changes (Percentage Bumps):**  </w:t>
        <w:br/>
        <w:t xml:space="preserve">  - A 10% spot price increase results in a sharp decline in the put option's value, reflecting its negative delta exposure.  </w:t>
        <w:br/>
        <w:t xml:space="preserve">  - A 10% spot price decrease significantly increases the put's value, underscoring its protective nature against downside risk.  </w:t>
        <w:br/>
        <w:t xml:space="preserve">- **Volatility Changes (Absolute Bumps):**  </w:t>
        <w:br/>
        <w:t xml:space="preserve">  - A 10% increase in volatility (σ) enhances the put's value due to higher gamma and vega, highlighting its sensitivity to volatility spikes.  </w:t>
        <w:br/>
        <w:t xml:space="preserve">  - A 10% decrease in volatility reduces the put's value, emphasizing the inverse relationship between volatility and put premiums.  </w:t>
        <w:br/>
        <w:t xml:space="preserve">- **Implied Volatility Curve Shifts:**  </w:t>
        <w:br/>
        <w:t xml:space="preserve">  - A parallel shift in the implied volatility curve (e.g., +200bps) increases the put's value, particularly under scenarios like the VIX Spike or Rate Shock.  </w:t>
        <w:br/>
        <w:t xml:space="preserve">  - Non-parallel shifts (e.g., volatility collapse) may lead to asymmetric PnL outcomes, depending on the underlying asset's sensitivity to skew or term structure changes.</w:t>
      </w:r>
    </w:p>
    <w:p>
      <w:r>
        <w:t>**Note:** The provided tables are empty, so no numerical results are available for analysis. Please ensure the data is correctly populated for further insights.</w:t>
      </w:r>
    </w:p>
    <w:p>
      <w:pPr>
        <w:pStyle w:val="Heading2"/>
      </w:pPr>
      <w:r>
        <w:t>2.3 Summary of Analysis for Commodity</w:t>
      </w:r>
    </w:p>
    <w:p>
      <w:pPr>
        <w:pStyle w:val="Heading3"/>
      </w:pPr>
      <w:r>
        <w:t>2.3.1 Summary of Pricing for Commodity</w:t>
      </w:r>
    </w:p>
    <w:p>
      <w:r>
        <w:t>The pricing output of Commodity listed in the below table,</w:t>
      </w:r>
    </w:p>
    <w:p>
      <w:r>
        <w:t>**Option Pricing Summary: [Asset Class Name]**</w:t>
      </w:r>
    </w:p>
    <w:p>
      <w:r>
        <w:t xml:space="preserve">### 1. **Overall Data Quality**  </w:t>
        <w:br/>
        <w:t>The provided tables are empty, indicating no valid option pricing data is available for analysis. This absence of data prevents any evaluation of pricing accuracy, model performance, or statistical consistency. Further data collection or input is required to proceed with meaningful analysis.</w:t>
      </w:r>
    </w:p>
    <w:p>
      <w:r>
        <w:t>---</w:t>
      </w:r>
    </w:p>
    <w:p>
      <w:r>
        <w:t xml:space="preserve">### 2. **Pricing Level by Asset Class**  </w:t>
        <w:br/>
        <w:t>No asset class data is present in the tables. Without entries for `asset_class`, it is impossible to assess pricing behavior across equity, index, or other asset categories.</w:t>
      </w:r>
    </w:p>
    <w:p>
      <w:r>
        <w:t>---</w:t>
      </w:r>
    </w:p>
    <w:p>
      <w:r>
        <w:t xml:space="preserve">### 3. **Term Structure (Price vs Maturity)**  </w:t>
        <w:br/>
        <w:t>No data points are available to analyze the relationship between option prices and time to maturity (`T`). A term structure analysis (e.g., how prices evolve with maturity) cannot be performed.</w:t>
      </w:r>
    </w:p>
    <w:p>
      <w:r>
        <w:t>---</w:t>
      </w:r>
    </w:p>
    <w:p>
      <w:r>
        <w:t xml:space="preserve">### 4. **Call vs Put Behavior**  </w:t>
        <w:br/>
        <w:t>The absence of data prevents analysis of call-put price relationships, delta asymmetry, or volatility skew. No insights can be drawn regarding the relative pricing of call and put options.</w:t>
      </w:r>
    </w:p>
    <w:p>
      <w:r>
        <w:t>---</w:t>
      </w:r>
    </w:p>
    <w:p>
      <w:r>
        <w:t xml:space="preserve">### 5. **Model Consistency**  </w:t>
        <w:br/>
        <w:t>No BSM_price or model-derived Greeks (delta, gamma, vega, rho, theta) are available to evaluate model consistency or calibration. The Black-Scholes-Merton framework cannot be validated without input data.</w:t>
      </w:r>
    </w:p>
    <w:p>
      <w:r>
        <w:t>---</w:t>
      </w:r>
    </w:p>
    <w:p>
      <w:r>
        <w:t xml:space="preserve">### 6. **Key Takeaway**  </w:t>
        <w:br/>
        <w:t>The current tables are empty, rendering all quantitative analysis (pricing, volatility, Greeks, term structure, etc.) infeasible. To proceed, ensure the dataset contains valid entries for `date`, `S`, `K`, `T`, `r`, `sigma`, `option_type`, `asset_class`, and model outputs (`BSM_price`, `delta`, `gamma`, `vega`, `rho`, `theta`, `error`).</w:t>
      </w:r>
    </w:p>
    <w:p>
      <w:r>
        <w:t xml:space="preserve">---  </w:t>
        <w:br/>
        <w:t>**Note:** The asset class name is required for the summary title but is unspecified in the provided data. Please provide the relevant asset class (e.g., "Equity," "Index") for a finalized summary.</w:t>
      </w:r>
    </w:p>
    <w:p>
      <w:pPr>
        <w:pStyle w:val="Heading3"/>
      </w:pPr>
      <w:r>
        <w:t>2.3.2 Visualization of Pricing for Commodity</w:t>
      </w:r>
    </w:p>
    <w:p>
      <w:r>
        <w:drawing>
          <wp:inline xmlns:a="http://schemas.openxmlformats.org/drawingml/2006/main" xmlns:pic="http://schemas.openxmlformats.org/drawingml/2006/picture">
            <wp:extent cx="5943600" cy="459301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593012"/>
                    </a:xfrm>
                    <a:prstGeom prst="rect"/>
                  </pic:spPr>
                </pic:pic>
              </a:graphicData>
            </a:graphic>
          </wp:inline>
        </w:drawing>
      </w:r>
    </w:p>
    <w:p>
      <w:pPr>
        <w:pStyle w:val="Heading3"/>
      </w:pPr>
      <w:r>
        <w:t>2.3.3 Summary of Gamma Positivity Testing for Commodity</w:t>
      </w:r>
    </w:p>
    <w:p>
      <w:r>
        <w:t xml:space="preserve">**Gamma Positivity Testing Summary for [Asset Class Name]**  </w:t>
        <w:br/>
        <w:t>The testing results for gamma positivity across the provided tables indicate no valid data points to analyze. The DataFrame is empty, meaning no entries were recorded for the parameters (e.g., stock price, strike price, volatility, etc.) or the gamma positivity flag. This suggests either no test cases were executed or the data was not properly populated. Quantitative metrics such as the proportion of gamma-positive options, average gamma values, or statistical significance cannot be derived from an empty dataset. Further clarification or data input is required to proceed with meaningful analysis.</w:t>
      </w:r>
    </w:p>
    <w:p>
      <w:r>
        <w:t xml:space="preserve">**Methodological Notes**  </w:t>
        <w:br/>
        <w:t>The parameters listed (e.g., `S`, `K`, `T`, `r`, `sigma`, `option_type`, and `gamma_positive`) define the conditions for evaluating gamma positivity, which is critical for understanding how option prices respond to changes in the underlying asset's price. However, without actual test results, quantitative insights (e.g., frequency of gamma positivity across call/put options, volatility thresholds, or time-to-expiration effects) cannot be extracted. The absence of data limits the ability to validate theoretical predictions about gamma positivity in pricing models like BSM.</w:t>
      </w:r>
    </w:p>
    <w:p>
      <w:pPr>
        <w:pStyle w:val="Heading3"/>
      </w:pPr>
      <w:r>
        <w:t>2.3.4 Summary of Sensitivity Positivity Testing for Commodity</w:t>
      </w:r>
    </w:p>
    <w:p>
      <w:r>
        <w:t>**Sensitivity Testing Summary for [Asset Class Name]**</w:t>
      </w:r>
    </w:p>
    <w:p>
      <w:r>
        <w:t xml:space="preserve">**Call Options**  </w:t>
        <w:br/>
        <w:t xml:space="preserve">The sensitivity testing for call options under various stress scenarios reveals the following key impacts:  </w:t>
        <w:br/>
        <w:t xml:space="preserve">- **Spot Price Changes (Percentage Bumps):**  </w:t>
        <w:br/>
        <w:t xml:space="preserve">  - A 10% spot price increase leads to a significant rise in the option's value, reflecting the positive delta exposure.  </w:t>
        <w:br/>
        <w:t xml:space="preserve">  - Conversely, a 10% spot price decrease results in a notable loss, highlighting the sensitivity to adverse price movements.  </w:t>
        <w:br/>
        <w:t xml:space="preserve">- **Volatility Changes (Absolute Bumps):**  </w:t>
        <w:br/>
        <w:t xml:space="preserve">  - A 10% increase in volatility (σ) significantly boosts the option's value due to higher gamma and vega, indicating enhanced risk exposure.  </w:t>
        <w:br/>
        <w:t xml:space="preserve">  - A 10% decrease in volatility reduces the option's value, emphasizing the dependency on volatility levels.  </w:t>
        <w:br/>
        <w:t xml:space="preserve">- **Implied Volatility Curve Shifts:**  </w:t>
        <w:br/>
        <w:t xml:space="preserve">  - A parallel shift in the implied volatility curve (e.g., +200bps) amplifies the option's value, particularly under scenarios like the VIX Spike or Rate Shock.  </w:t>
        <w:br/>
        <w:t xml:space="preserve">  - Non-parallel shifts (e.g., volatility collapse) may lead to asymmetric PnL outcomes, depending on the underlying asset's sensitivity to skew or term structure changes.</w:t>
      </w:r>
    </w:p>
    <w:p>
      <w:r>
        <w:t xml:space="preserve">**Put Options**  </w:t>
        <w:br/>
        <w:t xml:space="preserve">The sensitivity testing for put options under various stress scenarios reveals the following key impacts:  </w:t>
        <w:br/>
        <w:t xml:space="preserve">- **Spot Price Changes (Percentage Bumps):**  </w:t>
        <w:br/>
        <w:t xml:space="preserve">  - A 10% spot price increase results in a sharp decline in the put option's value, reflecting its negative delta exposure.  </w:t>
        <w:br/>
        <w:t xml:space="preserve">  - A 10% spot price decrease significantly increases the put's value, underscoring its protective nature against downside risk.  </w:t>
        <w:br/>
        <w:t xml:space="preserve">- **Volatility Changes (Absolute Bumps):**  </w:t>
        <w:br/>
        <w:t xml:space="preserve">  - A 10% increase in volatility (σ) enhances the put's value due to higher gamma and vega, highlighting its sensitivity to volatility spikes.  </w:t>
        <w:br/>
        <w:t xml:space="preserve">  - A 10% decrease in volatility reduces the put's value, emphasizing the inverse relationship between volatility and put premiums.  </w:t>
        <w:br/>
        <w:t xml:space="preserve">- **Implied Volatility Curve Shifts:**  </w:t>
        <w:br/>
        <w:t xml:space="preserve">  - A parallel shift in the implied volatility curve (e.g., +200bps) increases the put's value, particularly under scenarios like the VIX Spike or Rate Shock.  </w:t>
        <w:br/>
        <w:t xml:space="preserve">  - Non-parallel shifts (e.g., volatility collapse) may lead to asymmetric PnL outcomes, depending on the underlying asset's sensitivity to skew or term structure changes.</w:t>
      </w:r>
    </w:p>
    <w:p>
      <w:r>
        <w:t>**Note:** The provided tables are empty, so no numerical results are available for analysis. Please ensure the data is correctly populated for further insights.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