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Pricing, BSM</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January 28, 2026</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3"/>
      </w:pPr>
      <w:r>
        <w:t>2.1.1 Summary of Pricing for Equity</w:t>
      </w:r>
    </w:p>
    <w:p>
      <w:r>
        <w:t>The pricing output of Equity listed in the below table,</w:t>
      </w:r>
    </w:p>
    <w:p>
      <w:r>
        <w:t># Option Portfolio Analysis Report</w:t>
      </w:r>
    </w:p>
    <w:p>
      <w:r>
        <w:t>## 1. Overall Data Quality</w:t>
      </w:r>
    </w:p>
    <w:p>
      <w:pPr>
        <w:pStyle w:val="Heading2"/>
      </w:pPr>
      <w:r>
        <w:t>Data Consistency</w:t>
      </w:r>
    </w:p>
    <w:p>
      <w:r>
        <w:t>The dataset appears to be consistent in terms of structure and format. Each entry contains the necessary fields for option pricing analysis, including underlying asset prices (S), strike prices (K), time to maturity (T), risk-free rate (r), volatility (sigma), option type, and the Greeks (Delta, Gamma, Vega, Theta, Rho).</w:t>
      </w:r>
    </w:p>
    <w:p>
      <w:pPr>
        <w:pStyle w:val="Heading2"/>
      </w:pPr>
      <w:r>
        <w:t>Logical Consistency</w:t>
      </w:r>
    </w:p>
    <w:p>
      <w:pPr>
        <w:pStyle w:val="ListBullet"/>
      </w:pPr>
      <w:r/>
      <w:r>
        <w:rPr>
          <w:b/>
        </w:rPr>
        <w:t>Non-negative Prices</w:t>
      </w:r>
      <w:r>
        <w:t>: All option prices are positive, which is consistent with market expectations.</w:t>
      </w:r>
    </w:p>
    <w:p>
      <w:pPr>
        <w:pStyle w:val="ListBullet"/>
      </w:pPr>
      <w:r/>
      <w:r>
        <w:rPr>
          <w:b/>
        </w:rPr>
        <w:t>Valid Greeks</w:t>
      </w:r>
      <w:r>
        <w:t>: The Greeks (Delta, Gamma, Vega, Theta, Rho) show expected signs:</w:t>
      </w:r>
    </w:p>
    <w:p>
      <w:pPr>
        <w:pStyle w:val="ListBullet"/>
      </w:pPr>
      <w:r/>
      <w:r>
        <w:rPr>
          <w:b/>
        </w:rPr>
        <w:t>Delta</w:t>
      </w:r>
      <w:r>
        <w:t>: Call options have positive Delta values, while Put options have negative Delta values, aligning with standard option pricing theory.</w:t>
      </w:r>
    </w:p>
    <w:p>
      <w:pPr>
        <w:pStyle w:val="ListBullet"/>
      </w:pPr>
      <w:r/>
      <w:r>
        <w:rPr>
          <w:b/>
        </w:rPr>
        <w:t>Gamma</w:t>
      </w:r>
      <w:r>
        <w:t>: All Gamma values are positive, which is expected as Gamma measures the rate of change of Delta.</w:t>
      </w:r>
    </w:p>
    <w:p>
      <w:pPr>
        <w:pStyle w:val="ListBullet"/>
      </w:pPr>
      <w:r/>
      <w:r>
        <w:rPr>
          <w:b/>
        </w:rPr>
        <w:t>Vega</w:t>
      </w:r>
      <w:r>
        <w:t>: Positive for both calls and puts, indicating sensitivity to volatility.</w:t>
      </w:r>
    </w:p>
    <w:p>
      <w:pPr>
        <w:pStyle w:val="ListBullet"/>
      </w:pPr>
      <w:r/>
      <w:r>
        <w:rPr>
          <w:b/>
        </w:rPr>
        <w:t>Theta</w:t>
      </w:r>
      <w:r>
        <w:t>: Negative for both calls and puts, indicating time decay, which is expected as options lose value as they approach expiration.</w:t>
      </w:r>
    </w:p>
    <w:p>
      <w:pPr>
        <w:pStyle w:val="ListBullet"/>
      </w:pPr>
      <w:r/>
      <w:r>
        <w:rPr>
          <w:b/>
        </w:rPr>
        <w:t>Rho</w:t>
      </w:r>
      <w:r>
        <w:t>: Positive for calls and negative for puts, consistent with the theory that calls increase in value with rising interest rates, while puts decrease.</w:t>
      </w:r>
    </w:p>
    <w:p>
      <w:pPr>
        <w:pStyle w:val="Heading2"/>
      </w:pPr>
      <w:r>
        <w:t>Alignment with Black-Scholes Expectations</w:t>
      </w:r>
    </w:p>
    <w:p>
      <w:r>
        <w:t>The Greeks align well with the Black-Scholes model expectations given the S, K, and T values. For instance, options that are deep in-the-money (ITM) exhibit higher Delta values, while out-of-the-money (OTM) options show lower Delta values, consistent with theoretical predictions.</w:t>
      </w:r>
    </w:p>
    <w:p>
      <w:r>
        <w:t>## 2. Pricing Level &amp; Moneyness</w:t>
      </w:r>
    </w:p>
    <w:p>
      <w:pPr>
        <w:pStyle w:val="Heading2"/>
      </w:pPr>
      <w:r>
        <w:t>Moneyness Analysis</w:t>
      </w:r>
    </w:p>
    <w:p>
      <w:r>
        <w:t>Moneyness is determined by the ratio \( S/K \):</w:t>
      </w:r>
    </w:p>
    <w:p>
      <w:pPr>
        <w:pStyle w:val="ListBullet"/>
      </w:pPr>
      <w:r/>
      <w:r>
        <w:rPr>
          <w:b/>
        </w:rPr>
        <w:t>Deep ITM Options</w:t>
      </w:r>
      <w:r>
        <w:t>: Options with \( S/K &gt; 1 \) (e.g., MSFT Call at K=354.9, S=415.13) show high Delta values, indicating a strong correlation with the underlying asset's price movement.</w:t>
      </w:r>
    </w:p>
    <w:p>
      <w:pPr>
        <w:pStyle w:val="ListBullet"/>
      </w:pPr>
      <w:r/>
      <w:r>
        <w:rPr>
          <w:b/>
        </w:rPr>
        <w:t>OTM Options</w:t>
      </w:r>
      <w:r>
        <w:t>: Options with \( S/K &lt; 1 \) (e.g., AAPL Put at K=264.13, S=222.12) exhibit lower Delta values, reflecting their reduced sensitivity to the underlying asset's price changes.</w:t>
      </w:r>
    </w:p>
    <w:p>
      <w:pPr>
        <w:pStyle w:val="Heading2"/>
      </w:pPr>
      <w:r>
        <w:t>Summary of Moneyness Impact on Delta</w:t>
      </w:r>
    </w:p>
    <w:p>
      <w:pPr>
        <w:pStyle w:val="ListBullet"/>
      </w:pPr>
      <w:r/>
      <w:r>
        <w:rPr>
          <w:b/>
        </w:rPr>
        <w:t>MSFT Call (ID 23)</w:t>
      </w:r>
      <w:r>
        <w:t>: Price = 74.27, Delta = 0.865, ITM.</w:t>
      </w:r>
    </w:p>
    <w:p>
      <w:pPr>
        <w:pStyle w:val="ListBullet"/>
      </w:pPr>
      <w:r/>
      <w:r>
        <w:rPr>
          <w:b/>
        </w:rPr>
        <w:t>AAPL Put (ID 22)</w:t>
      </w:r>
      <w:r>
        <w:t>: Price = 40.79, Delta = -0.846, OTM.</w:t>
      </w:r>
    </w:p>
    <w:p>
      <w:pPr>
        <w:pStyle w:val="ListBullet"/>
      </w:pPr>
      <w:r/>
      <w:r>
        <w:rPr>
          <w:b/>
        </w:rPr>
        <w:t>TSLA Call (ID 19)</w:t>
      </w:r>
      <w:r>
        <w:t>: Price = 51.40, Delta = 0.781, ITM.</w:t>
      </w:r>
    </w:p>
    <w:p>
      <w:pPr>
        <w:pStyle w:val="ListBullet"/>
      </w:pPr>
      <w:r/>
      <w:r>
        <w:rPr>
          <w:b/>
        </w:rPr>
        <w:t>TSLA Put (ID 20)</w:t>
      </w:r>
      <w:r>
        <w:t>: Price = 10.12, Delta = -0.219, OTM.</w:t>
      </w:r>
    </w:p>
    <w:p>
      <w:r>
        <w:t>The analysis indicates that deep ITM options have higher Delta values, while OTM options have lower Delta values, confirming the expected relationship between moneyness and Delta.</w:t>
      </w:r>
    </w:p>
    <w:p>
      <w:r>
        <w:t>## 3. Term Structure Analysis</w:t>
      </w:r>
    </w:p>
    <w:p>
      <w:pPr>
        <w:pStyle w:val="Heading2"/>
      </w:pPr>
      <w:r>
        <w:t>Impact of Time to Maturity (T)</w:t>
      </w:r>
    </w:p>
    <w:p>
      <w:r>
        <w:t>Options with longer durations (T &gt; 1.0) exhibit:</w:t>
      </w:r>
    </w:p>
    <w:p>
      <w:pPr>
        <w:pStyle w:val="ListBullet"/>
      </w:pPr>
      <w:r/>
      <w:r>
        <w:rPr>
          <w:b/>
        </w:rPr>
        <w:t>Higher Vega</w:t>
      </w:r>
      <w:r>
        <w:t>: Longer-dated options are more sensitive to changes in volatility, as they have more time for the underlying asset to move.</w:t>
      </w:r>
    </w:p>
    <w:p>
      <w:pPr>
        <w:pStyle w:val="ListBullet"/>
      </w:pPr>
      <w:r/>
      <w:r>
        <w:rPr>
          <w:b/>
        </w:rPr>
        <w:t>Higher Rho</w:t>
      </w:r>
      <w:r>
        <w:t>: Longer-dated options also show greater sensitivity to interest rate changes, as the time value of money has a more pronounced effect over longer periods.</w:t>
      </w:r>
    </w:p>
    <w:p>
      <w:r>
        <w:t>For example:</w:t>
      </w:r>
    </w:p>
    <w:p>
      <w:pPr>
        <w:pStyle w:val="ListBullet"/>
      </w:pPr>
      <w:r/>
      <w:r>
        <w:rPr>
          <w:b/>
        </w:rPr>
        <w:t>MSFT Call (ID 15)</w:t>
      </w:r>
      <w:r>
        <w:t xml:space="preserve"> with T = 1.452 has a Vega of 1.536, while </w:t>
      </w:r>
      <w:r>
        <w:rPr>
          <w:b/>
        </w:rPr>
        <w:t>MSFT Call (ID 23)</w:t>
      </w:r>
      <w:r>
        <w:t xml:space="preserve"> with T = 0.544 has a Vega of 0.663. This indicates that the longer-dated option is more sensitive to volatility changes.</w:t>
      </w:r>
    </w:p>
    <w:p>
      <w:pPr>
        <w:pStyle w:val="Heading2"/>
      </w:pPr>
      <w:r>
        <w:t>Summary of Term Structure Effects</w:t>
      </w:r>
    </w:p>
    <w:p>
      <w:r>
        <w:t>Longer-dated options (T &gt; 1.0) generally have higher Vega and Rho values compared to shorter-dated options, indicating increased exposure to volatility and interest rate risks.</w:t>
      </w:r>
    </w:p>
    <w:p>
      <w:r>
        <w:t>## 4. Call vs Put Behavior</w:t>
      </w:r>
    </w:p>
    <w:p>
      <w:pPr>
        <w:pStyle w:val="Heading2"/>
      </w:pPr>
      <w:r>
        <w:t>Delta and Rho Differences</w:t>
      </w:r>
    </w:p>
    <w:p>
      <w:pPr>
        <w:pStyle w:val="ListBullet"/>
      </w:pPr>
      <w:r/>
      <w:r>
        <w:rPr>
          <w:b/>
        </w:rPr>
        <w:t>Delta</w:t>
      </w:r>
      <w:r>
        <w:t>: Call options generally have higher Delta values than their corresponding Put options, reflecting their positive correlation with the underlying asset's price. For instance, the MSFT Call (ID 23) has a Delta of 0.865, while the corresponding Put (ID 24) has a Delta of -0.135.</w:t>
      </w:r>
    </w:p>
    <w:p>
      <w:pPr>
        <w:pStyle w:val="ListBullet"/>
      </w:pPr>
      <w:r/>
      <w:r>
        <w:rPr>
          <w:b/>
        </w:rPr>
        <w:t>Rho</w:t>
      </w:r>
      <w:r>
        <w:t>: Call options exhibit positive Rho, while Put options show negative Rho, consistent with put-call parity. For example, the MSFT Call (ID 11) has a Rho of 437.85, while the corresponding Put (ID 16) has a Rho of -174.55.</w:t>
      </w:r>
    </w:p>
    <w:p>
      <w:pPr>
        <w:pStyle w:val="Heading2"/>
      </w:pPr>
      <w:r>
        <w:t>Theta Behavior</w:t>
      </w:r>
    </w:p>
    <w:p>
      <w:r>
        <w:t>Theta values are negative for both calls and puts, indicating that both types of options lose value as expiration approaches. However, the rate of decay can differ:</w:t>
      </w:r>
    </w:p>
    <w:p>
      <w:pPr>
        <w:pStyle w:val="ListBullet"/>
      </w:pPr>
      <w:r/>
      <w:r>
        <w:rPr>
          <w:b/>
        </w:rPr>
        <w:t>Call Options</w:t>
      </w:r>
      <w:r>
        <w:t>: Generally exhibit a slower decay compared to Put options, especially when they are ITM.</w:t>
      </w:r>
    </w:p>
    <w:p>
      <w:pPr>
        <w:pStyle w:val="ListBullet"/>
      </w:pPr>
      <w:r/>
      <w:r>
        <w:rPr>
          <w:b/>
        </w:rPr>
        <w:t>Put Options</w:t>
      </w:r>
      <w:r>
        <w:t>: Tend to lose value faster, particularly when they are OTM.</w:t>
      </w:r>
    </w:p>
    <w:p>
      <w:r>
        <w:t>## Final Summary</w:t>
      </w:r>
    </w:p>
    <w:p>
      <w:pPr>
        <w:pStyle w:val="Heading2"/>
      </w:pPr>
      <w:r>
        <w:t>Primary Risk Exposure</w:t>
      </w:r>
    </w:p>
    <w:p>
      <w:r>
        <w:t>The primary risk exposure for this portfolio can be categorized as follows:</w:t>
      </w:r>
    </w:p>
    <w:p>
      <w:pPr>
        <w:pStyle w:val="ListBullet"/>
      </w:pPr>
      <w:r/>
      <w:r>
        <w:rPr>
          <w:b/>
        </w:rPr>
        <w:t>Directional Risk</w:t>
      </w:r>
      <w:r>
        <w:t>: The portfolio is sensitive to movements in the underlying asset prices, particularly for ITM options with high Delta values.</w:t>
      </w:r>
    </w:p>
    <w:p>
      <w:pPr>
        <w:pStyle w:val="ListBullet"/>
      </w:pPr>
      <w:r/>
      <w:r>
        <w:rPr>
          <w:b/>
        </w:rPr>
        <w:t>Volatility Risk</w:t>
      </w:r>
      <w:r>
        <w:t>: Given the presence of options with significant Vega, the portfolio is also exposed to changes in market volatility.</w:t>
      </w:r>
    </w:p>
    <w:p>
      <w:pPr>
        <w:pStyle w:val="ListBullet"/>
      </w:pPr>
      <w:r/>
      <w:r>
        <w:rPr>
          <w:b/>
        </w:rPr>
        <w:t>Interest Rate Risk</w:t>
      </w:r>
      <w:r>
        <w:t>: The presence of options with high Rho values indicates sensitivity to interest rate fluctuations.</w:t>
      </w:r>
    </w:p>
    <w:p>
      <w:r>
        <w:t>In conclusion, the portfolio exhibits a balanced exposure to directional, volatility, and interest rate risks, with a notable emphasis on directional risk due to the presence of deep ITM options.</w:t>
      </w:r>
    </w:p>
    <w:p>
      <w:pPr>
        <w:pStyle w:val="Heading3"/>
      </w:pPr>
      <w:r>
        <w:t>2.1.2 Visualization of Pricing for Equity</w:t>
      </w:r>
    </w:p>
    <w:p>
      <w:r>
        <w:drawing>
          <wp:inline xmlns:a="http://schemas.openxmlformats.org/drawingml/2006/main" xmlns:pic="http://schemas.openxmlformats.org/drawingml/2006/picture">
            <wp:extent cx="5029200" cy="2997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2997200"/>
                    </a:xfrm>
                    <a:prstGeom prst="rect"/>
                  </pic:spPr>
                </pic:pic>
              </a:graphicData>
            </a:graphic>
          </wp:inline>
        </w:drawing>
      </w:r>
    </w:p>
    <w:p>
      <w:r>
        <w:drawing>
          <wp:inline xmlns:a="http://schemas.openxmlformats.org/drawingml/2006/main" xmlns:pic="http://schemas.openxmlformats.org/drawingml/2006/picture">
            <wp:extent cx="5029200" cy="2997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2997200"/>
                    </a:xfrm>
                    <a:prstGeom prst="rect"/>
                  </pic:spPr>
                </pic:pic>
              </a:graphicData>
            </a:graphic>
          </wp:inline>
        </w:drawing>
      </w:r>
    </w:p>
    <w:p>
      <w:pPr>
        <w:pStyle w:val="Heading3"/>
      </w:pPr>
      <w:r>
        <w:t>2.1.2 Summary of Sensitivity Testing for Equity</w:t>
      </w:r>
    </w:p>
    <w:p>
      <w:r>
        <w:drawing>
          <wp:inline xmlns:a="http://schemas.openxmlformats.org/drawingml/2006/main" xmlns:pic="http://schemas.openxmlformats.org/drawingml/2006/picture">
            <wp:extent cx="5669280" cy="163668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1636684"/>
                    </a:xfrm>
                    <a:prstGeom prst="rect"/>
                  </pic:spPr>
                </pic:pic>
              </a:graphicData>
            </a:graphic>
          </wp:inline>
        </w:drawing>
      </w:r>
    </w:p>
    <w:p>
      <w:r>
        <w:drawing>
          <wp:inline xmlns:a="http://schemas.openxmlformats.org/drawingml/2006/main" xmlns:pic="http://schemas.openxmlformats.org/drawingml/2006/picture">
            <wp:extent cx="5669280" cy="163709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1637095"/>
                    </a:xfrm>
                    <a:prstGeom prst="rect"/>
                  </pic:spPr>
                </pic:pic>
              </a:graphicData>
            </a:graphic>
          </wp:inline>
        </w:drawing>
      </w:r>
    </w:p>
    <w:p>
      <w:pPr>
        <w:pStyle w:val="Heading2"/>
      </w:pPr>
      <w:r>
        <w:t>Risk Assessment Report</w:t>
      </w:r>
    </w:p>
    <w:p>
      <w:pPr>
        <w:pStyle w:val="Heading3"/>
      </w:pPr>
      <w:r>
        <w:t>1. **Spot Shock Impact**</w:t>
      </w:r>
    </w:p>
    <w:p>
      <w:r>
        <w:t>To assess the potential P&amp;L loss during a 5% market drop, we will analyze the sensitivity of each option to a -0.05 spot bump. The P&amp;L loss can be calculated as follows:</w:t>
      </w:r>
    </w:p>
    <w:p>
      <w:pPr>
        <w:pStyle w:val="ListBullet"/>
      </w:pPr>
      <w:r>
        <w:t>P&amp;L Loss = Price + Sensitivity to Spot Bump (-0.05)**</w:t>
      </w:r>
    </w:p>
    <w:p>
      <w:r>
        <w:t>Here are the options with the highest potential losses:</w:t>
      </w:r>
    </w:p>
    <w:p>
      <w:r>
        <w:t>| ID | Underlying | Option Type | Current Price | Sensitivity to Spot Bump (-0.05) | Potential Loss |</w:t>
      </w:r>
    </w:p>
    <w:p>
      <w:r>
        <w:t>|----|------------|-------------|---------------|-----------------------------------|-----------------|</w:t>
      </w:r>
    </w:p>
    <w:p>
      <w:r>
        <w:t>| 1  | AAPL       | Call        | 31.53         | 23.55                             | 55.08           |</w:t>
      </w:r>
    </w:p>
    <w:p>
      <w:r>
        <w:t>| 4  | AAPL       | Put         | 29.43         | 35.53                             | 65.96           |</w:t>
      </w:r>
    </w:p>
    <w:p>
      <w:r>
        <w:t>| 6  | TSLA       | Put         | 58.17         | 67.30                             | 125.47          |</w:t>
      </w:r>
    </w:p>
    <w:p>
      <w:r>
        <w:t>| 11 | MSFT       | Call        | 74.92         | 60.56                             | 135.48          |</w:t>
      </w:r>
    </w:p>
    <w:p>
      <w:r>
        <w:t>| 12 | MSFT       | Put         | 28.74         | 35.76                             | 64.50           |</w:t>
      </w:r>
    </w:p>
    <w:p>
      <w:r>
        <w:t>| 25 | TSLA       | Call        | 60.46         | 52.89                             | 113.35          |</w:t>
      </w:r>
    </w:p>
    <w:p>
      <w:r>
        <w:t>| 26 | TSLA       | Put         | 73.05         | 78.51                             | 151.56          |</w:t>
      </w:r>
    </w:p>
    <w:p>
      <w:pPr>
        <w:pStyle w:val="ListBullet"/>
      </w:pPr>
      <w:r>
        <w:t>Conclusion**: The options most at risk during a 5% market drop are the TSLA put (ID 6) and MSFT call (ID 11), with potential losses of 125.47 and 135.48, respectively.</w:t>
      </w:r>
    </w:p>
    <w:p>
      <w:pPr>
        <w:pStyle w:val="Heading3"/>
      </w:pPr>
      <w:r>
        <w:t>2. **Volatility Sensitivity**</w:t>
      </w:r>
    </w:p>
    <w:p>
      <w:r>
        <w:t>To evaluate the impact of a 5% increase in volatility, we will analyze the sensitivity of each option to a +0.05 volatility bump. The P&amp;L change can be calculated as follows:</w:t>
      </w:r>
    </w:p>
    <w:p>
      <w:pPr>
        <w:pStyle w:val="ListBullet"/>
      </w:pPr>
      <w:r>
        <w:t>P&amp;L Change = Sensitivity to Volatility Bump (+0.05)**</w:t>
      </w:r>
    </w:p>
    <w:p>
      <w:r>
        <w:t>Here are the options with the highest potential gains from a 5% increase in volatility:</w:t>
      </w:r>
    </w:p>
    <w:p>
      <w:r>
        <w:t>| ID | Underlying | Option Type | Sensitivity to Volatility Bump (+0.05) | Potential Gain |</w:t>
      </w:r>
    </w:p>
    <w:p>
      <w:r>
        <w:t>|----|------------|-------------|-----------------------------------------|-----------------|</w:t>
      </w:r>
    </w:p>
    <w:p>
      <w:r>
        <w:t>| 1  | AAPL       | Call        | 34.97                                   | 34.97           |</w:t>
      </w:r>
    </w:p>
    <w:p>
      <w:r>
        <w:t>| 4  | AAPL       | Put         | 33.76                                   | 33.76           |</w:t>
      </w:r>
    </w:p>
    <w:p>
      <w:r>
        <w:t>| 6  | TSLA       | Put         | 60.95                                   | 60.95           |</w:t>
      </w:r>
    </w:p>
    <w:p>
      <w:r>
        <w:t>| 11 | MSFT       | Call        | 85.36                                   | 85.36           |</w:t>
      </w:r>
    </w:p>
    <w:p>
      <w:r>
        <w:t>| 12 | MSFT       | Put         | 39.19                                   | 39.19           |</w:t>
      </w:r>
    </w:p>
    <w:p>
      <w:r>
        <w:t>| 25 | TSLA       | Call        | 67.51                                   | 67.51           |</w:t>
      </w:r>
    </w:p>
    <w:p>
      <w:r>
        <w:t>| 26 | TSLA       | Put         | 80.10                                   | 80.10           |</w:t>
      </w:r>
    </w:p>
    <w:p>
      <w:pPr>
        <w:pStyle w:val="ListBullet"/>
      </w:pPr>
      <w:r>
        <w:t>Conclusion**: The MSFT call (ID 11) shows the highest sensitivity to volatility, with a potential gain of 85.36, indicating that the impact is not uniform across all assets.</w:t>
      </w:r>
    </w:p>
    <w:p>
      <w:pPr>
        <w:pStyle w:val="Heading3"/>
      </w:pPr>
      <w:r>
        <w:t>3. **Rate Sensitivity (Rho)**</w:t>
      </w:r>
    </w:p>
    <w:p>
      <w:r>
        <w:t>For the impact of a +500bps (+0.05) rate move, we will analyze the sensitivity of each option to a +0.05 rate bump. The P&amp;L change can be calculated as follows:</w:t>
      </w:r>
    </w:p>
    <w:p>
      <w:pPr>
        <w:pStyle w:val="ListBullet"/>
      </w:pPr>
      <w:r>
        <w:t>P&amp;L Change = Sensitivity to Rate Bump (+0.05)**</w:t>
      </w:r>
    </w:p>
    <w:p>
      <w:r>
        <w:t>Long-dated options (higher T) typically show greater sensitivity. Here are the options with significant sensitivity:</w:t>
      </w:r>
    </w:p>
    <w:p>
      <w:r>
        <w:t>| ID | Underlying | Option Type | Sensitivity to Rate Bump (+0.05) | Potential Gain |</w:t>
      </w:r>
    </w:p>
    <w:p>
      <w:r>
        <w:t>|----|------------|-------------|-----------------------------------|-----------------|</w:t>
      </w:r>
    </w:p>
    <w:p>
      <w:r>
        <w:t>| 11 | MSFT       | Call        | 97.89                             | 97.89           |</w:t>
      </w:r>
    </w:p>
    <w:p>
      <w:r>
        <w:t>| 12 | MSFT       | Put         | 16.39                             | 16.39           |</w:t>
      </w:r>
    </w:p>
    <w:p>
      <w:r>
        <w:t>| 33 | MSFT       | Call        | 100.62                            | 100.62          |</w:t>
      </w:r>
    </w:p>
    <w:p>
      <w:r>
        <w:t>| 34 | MSFT       | Put         | 31.12                             | 31.12           |</w:t>
      </w:r>
    </w:p>
    <w:p>
      <w:pPr>
        <w:pStyle w:val="ListBullet"/>
      </w:pPr>
      <w:r>
        <w:t>Conclusion**: The MSFT call (ID 33) shows the highest sensitivity to rate changes, with a potential gain of 100.62, indicating that long-dated options are indeed more sensitive to rate shocks.</w:t>
      </w:r>
    </w:p>
    <w:p>
      <w:pPr>
        <w:pStyle w:val="Heading3"/>
      </w:pPr>
      <w:r>
        <w:t>4. **Outlier Detection**</w:t>
      </w:r>
    </w:p>
    <w:p>
      <w:r>
        <w:t>To identify options that exhibit extreme price swings or become zero under stress, we will look for any options with a price approaching zero or erratic behavior in sensitivity.</w:t>
      </w:r>
    </w:p>
    <w:p>
      <w:pPr>
        <w:pStyle w:val="ListBullet"/>
      </w:pPr>
      <w:r/>
      <w:r>
        <w:rPr>
          <w:b/>
        </w:rPr>
        <w:t>ID 29 (MSFT Call)</w:t>
      </w:r>
      <w:r>
        <w:t>: Price drops to 1.76, with a sensitivity of 0.38 under a -0.05 spot bump, indicating potential erratic behavior.</w:t>
      </w:r>
    </w:p>
    <w:p>
      <w:pPr>
        <w:pStyle w:val="ListBullet"/>
      </w:pPr>
      <w:r/>
      <w:r>
        <w:rPr>
          <w:b/>
        </w:rPr>
        <w:t>ID 38 (AAPL Put)</w:t>
      </w:r>
      <w:r>
        <w:t>: Price drops to 3.99, with a sensitivity of 7.73 under a -0.05 spot bump, indicating potential erratic behavior.</w:t>
      </w:r>
    </w:p>
    <w:p>
      <w:pPr>
        <w:pStyle w:val="ListBullet"/>
      </w:pPr>
      <w:r>
        <w:t>Conclusion**: ID 29 and ID 38 are potential outliers that may exhibit erratic behavior under stress.</w:t>
      </w:r>
    </w:p>
    <w:p>
      <w:pPr>
        <w:pStyle w:val="Heading3"/>
      </w:pPr>
      <w:r>
        <w:t>5. **Summary: Top Risk Ranking**</w:t>
      </w:r>
    </w:p>
    <w:p>
      <w:r>
        <w:t>Based on the analysis, the following options are ranked as the top risks in the portfolio:</w:t>
      </w:r>
    </w:p>
    <w:p>
      <w:r>
        <w:t xml:space="preserve">1. </w:t>
      </w:r>
      <w:r>
        <w:rPr>
          <w:b/>
        </w:rPr>
        <w:t>MSFT Call (ID 11)</w:t>
      </w:r>
      <w:r>
        <w:t>: High sensitivity to spot and rate shocks.</w:t>
      </w:r>
    </w:p>
    <w:p>
      <w:r>
        <w:t xml:space="preserve">2. </w:t>
      </w:r>
      <w:r>
        <w:rPr>
          <w:b/>
        </w:rPr>
        <w:t>TSLA Put (ID 6)</w:t>
      </w:r>
      <w:r>
        <w:t>: Significant potential loss during a market drop.</w:t>
      </w:r>
    </w:p>
    <w:p>
      <w:r>
        <w:t xml:space="preserve">3. </w:t>
      </w:r>
      <w:r>
        <w:rPr>
          <w:b/>
        </w:rPr>
        <w:t>MSFT Call (ID 33)</w:t>
      </w:r>
      <w:r>
        <w:t>: Highest sensitivity to rate changes.</w:t>
      </w:r>
    </w:p>
    <w:p>
      <w:r>
        <w:t xml:space="preserve">4. </w:t>
      </w:r>
      <w:r>
        <w:rPr>
          <w:b/>
        </w:rPr>
        <w:t>TSLA Call (ID 25)</w:t>
      </w:r>
      <w:r>
        <w:t>: High sensitivity to volatility.</w:t>
      </w:r>
    </w:p>
    <w:p>
      <w:r>
        <w:t xml:space="preserve">5. </w:t>
      </w:r>
      <w:r>
        <w:rPr>
          <w:b/>
        </w:rPr>
        <w:t>AAPL Put (ID 4)</w:t>
      </w:r>
      <w:r>
        <w:t>: Significant potential loss during a market drop.</w:t>
      </w:r>
    </w:p>
    <w:p>
      <w:r>
        <w:t>This report highlights the most vulnerable options in the portfolio and provides insights into their sensitivities under various market conditions.</w:t>
      </w:r>
    </w:p>
    <w:p>
      <w:pPr>
        <w:pStyle w:val="Heading3"/>
      </w:pPr>
      <w:r>
        <w:t>2.1.3 Summary of Stress Testing for Equity</w:t>
      </w:r>
    </w:p>
    <w:p>
      <w:pPr>
        <w:pStyle w:val="Heading2"/>
      </w:pPr>
      <w:r>
        <w:t>Call Stress Exposure by Underlying</w:t>
      </w:r>
    </w:p>
    <w:p>
      <w:r>
        <w:drawing>
          <wp:inline xmlns:a="http://schemas.openxmlformats.org/drawingml/2006/main" xmlns:pic="http://schemas.openxmlformats.org/drawingml/2006/picture">
            <wp:extent cx="5669280" cy="323024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230242"/>
                    </a:xfrm>
                    <a:prstGeom prst="rect"/>
                  </pic:spPr>
                </pic:pic>
              </a:graphicData>
            </a:graphic>
          </wp:inline>
        </w:drawing>
      </w:r>
    </w:p>
    <w:p>
      <w:pPr>
        <w:pStyle w:val="Heading2"/>
      </w:pPr>
      <w:r>
        <w:t>Put Stress Exposure by Underlying</w:t>
      </w:r>
    </w:p>
    <w:p>
      <w:r>
        <w:drawing>
          <wp:inline xmlns:a="http://schemas.openxmlformats.org/drawingml/2006/main" xmlns:pic="http://schemas.openxmlformats.org/drawingml/2006/picture">
            <wp:extent cx="5669280" cy="32314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231408"/>
                    </a:xfrm>
                    <a:prstGeom prst="rect"/>
                  </pic:spPr>
                </pic:pic>
              </a:graphicData>
            </a:graphic>
          </wp:inline>
        </w:drawing>
      </w:r>
    </w:p>
    <w:p>
      <w:pPr>
        <w:pStyle w:val="Heading2"/>
      </w:pPr>
      <w:r>
        <w:t>Strategic Risk Memo</w:t>
      </w:r>
    </w:p>
    <w:p>
      <w:pPr>
        <w:pStyle w:val="ListBullet"/>
      </w:pPr>
      <w:r>
        <w:t>To:** Executive Management</w:t>
      </w:r>
    </w:p>
    <w:p>
      <w:pPr>
        <w:pStyle w:val="ListBullet"/>
      </w:pPr>
      <w:r>
        <w:t>From:** Chief Risk Officer</w:t>
      </w:r>
    </w:p>
    <w:p>
      <w:pPr>
        <w:pStyle w:val="ListBullet"/>
      </w:pPr>
      <w:r>
        <w:t>Date:** [Insert Date]</w:t>
      </w:r>
    </w:p>
    <w:p>
      <w:pPr>
        <w:pStyle w:val="ListBullet"/>
      </w:pPr>
      <w:r>
        <w:t>Subject:** Analysis of Stress Testing Results for Options Portfolio</w:t>
      </w:r>
    </w:p>
    <w:p>
      <w:pPr>
        <w:pStyle w:val="ListBullet"/>
      </w:pPr>
      <w:r/>
    </w:p>
    <w:p>
      <w:pPr>
        <w:pStyle w:val="Heading3"/>
      </w:pPr>
      <w:r>
        <w:t>1. Worst-Case Scenario</w:t>
      </w:r>
    </w:p>
    <w:p>
      <w:r>
        <w:t xml:space="preserve">The single scenario that creates the maximum drawdown is the </w:t>
      </w:r>
      <w:r>
        <w:rPr>
          <w:b/>
        </w:rPr>
        <w:t>2008 Financial Crisis</w:t>
      </w:r>
      <w:r>
        <w:t xml:space="preserve"> for the </w:t>
      </w:r>
      <w:r>
        <w:rPr>
          <w:b/>
        </w:rPr>
        <w:t>AAPL Put (ID 2)</w:t>
      </w:r>
      <w:r>
        <w:t xml:space="preserve">, which results in a catastrophic loss of </w:t>
      </w:r>
      <w:r>
        <w:rPr>
          <w:b/>
        </w:rPr>
        <w:t>$153.997 million</w:t>
      </w:r>
      <w:r>
        <w:t xml:space="preserve">. This outcome is primarily driven by the option's </w:t>
      </w:r>
      <w:r>
        <w:rPr>
          <w:b/>
        </w:rPr>
        <w:t>Delta</w:t>
      </w:r>
      <w:r>
        <w:t xml:space="preserve"> of </w:t>
      </w:r>
      <w:r>
        <w:rPr>
          <w:b/>
        </w:rPr>
        <w:t>-0.2309</w:t>
      </w:r>
      <w:r>
        <w:t xml:space="preserve"> and </w:t>
      </w:r>
      <w:r>
        <w:rPr>
          <w:b/>
        </w:rPr>
        <w:t>Vega</w:t>
      </w:r>
      <w:r>
        <w:t xml:space="preserve"> of </w:t>
      </w:r>
      <w:r>
        <w:rPr>
          <w:b/>
        </w:rPr>
        <w:t>0.4839</w:t>
      </w:r>
      <w:r>
        <w:t>. The negative Delta indicates that the put option gains value as the underlying stock price decreases, which is exacerbated during a financial crisis when stock prices typically plummet. The high Vega suggests that the option is sensitive to changes in volatility, which tends to spike during crises, further amplifying the loss.</w:t>
      </w:r>
    </w:p>
    <w:p>
      <w:pPr>
        <w:pStyle w:val="Heading3"/>
      </w:pPr>
      <w:r>
        <w:t>2. Volatility vs. Spot</w:t>
      </w:r>
    </w:p>
    <w:p>
      <w:r>
        <w:t xml:space="preserve">When comparing the impacts of the </w:t>
      </w:r>
      <w:r>
        <w:rPr>
          <w:b/>
        </w:rPr>
        <w:t>VIX Spike</w:t>
      </w:r>
      <w:r>
        <w:t xml:space="preserve"> and the </w:t>
      </w:r>
      <w:r>
        <w:rPr>
          <w:b/>
        </w:rPr>
        <w:t>2008 Financial Crisis</w:t>
      </w:r>
      <w:r>
        <w:t xml:space="preserve">, the </w:t>
      </w:r>
      <w:r>
        <w:rPr>
          <w:b/>
        </w:rPr>
        <w:t>2008 Financial Crisis</w:t>
      </w:r>
      <w:r>
        <w:t xml:space="preserve"> is more damaging across the portfolio. For instance, the AAPL Put (ID 2) experiences a loss of </w:t>
      </w:r>
      <w:r>
        <w:rPr>
          <w:b/>
        </w:rPr>
        <w:t>$153.997 million</w:t>
      </w:r>
      <w:r>
        <w:t xml:space="preserve"> during the crisis, while the VIX Spike results in a loss of </w:t>
      </w:r>
      <w:r>
        <w:rPr>
          <w:b/>
        </w:rPr>
        <w:t>$60.971 million</w:t>
      </w:r>
      <w:r>
        <w:t xml:space="preserve"> for the same option. This indicates that systemic market downturns (like the 2008 crisis) have a more profound impact on option pricing than isolated volatility spikes, which may not correlate directly with underlying asset movements.</w:t>
      </w:r>
    </w:p>
    <w:p>
      <w:pPr>
        <w:pStyle w:val="Heading3"/>
      </w:pPr>
      <w:r>
        <w:t>3. Greeks Correlation</w:t>
      </w:r>
    </w:p>
    <w:p>
      <w:r>
        <w:t xml:space="preserve">The initial </w:t>
      </w:r>
      <w:r>
        <w:rPr>
          <w:b/>
        </w:rPr>
        <w:t>Delta</w:t>
      </w:r>
      <w:r>
        <w:t xml:space="preserve"> and </w:t>
      </w:r>
      <w:r>
        <w:rPr>
          <w:b/>
        </w:rPr>
        <w:t>Vega</w:t>
      </w:r>
      <w:r>
        <w:t xml:space="preserve"> values provided a reasonable prediction of the outcomes during stress scenarios. Options with higher negative Delta (like the AAPL Put) performed poorly during market downturns, as expected. However, some surprises emerged, particularly with </w:t>
      </w:r>
      <w:r>
        <w:rPr>
          <w:b/>
        </w:rPr>
        <w:t>MSFT options</w:t>
      </w:r>
      <w:r>
        <w:t xml:space="preserve">, where the Delta and Vega did not predict the extent of losses during the </w:t>
      </w:r>
      <w:r>
        <w:rPr>
          <w:b/>
        </w:rPr>
        <w:t>Dot-com Crash</w:t>
      </w:r>
      <w:r>
        <w:t xml:space="preserve"> and </w:t>
      </w:r>
      <w:r>
        <w:rPr>
          <w:b/>
        </w:rPr>
        <w:t>Liquidation Scenario</w:t>
      </w:r>
      <w:r>
        <w:t xml:space="preserve">. For example, the MSFT Call (ID 11) had a Delta of </w:t>
      </w:r>
      <w:r>
        <w:rPr>
          <w:b/>
        </w:rPr>
        <w:t>0.7019</w:t>
      </w:r>
      <w:r>
        <w:t xml:space="preserve"> but still resulted in significant losses during the Dot-com Crash, indicating that the market's reaction was more severe than anticipated.</w:t>
      </w:r>
    </w:p>
    <w:p>
      <w:pPr>
        <w:pStyle w:val="Heading3"/>
      </w:pPr>
      <w:r>
        <w:t>4. Liquidation Risk</w:t>
      </w:r>
    </w:p>
    <w:p>
      <w:r>
        <w:t xml:space="preserve">In the </w:t>
      </w:r>
      <w:r>
        <w:rPr>
          <w:b/>
        </w:rPr>
        <w:t>Liquidation Scenario</w:t>
      </w:r>
      <w:r>
        <w:t xml:space="preserve">, there is a notable surge in option premiums, particularly for the </w:t>
      </w:r>
      <w:r>
        <w:rPr>
          <w:b/>
        </w:rPr>
        <w:t>MSFT Call (ID 11)</w:t>
      </w:r>
      <w:r>
        <w:t xml:space="preserve">, which shows a premium increase of </w:t>
      </w:r>
      <w:r>
        <w:rPr>
          <w:b/>
        </w:rPr>
        <w:t>$267.600 million</w:t>
      </w:r>
      <w:r>
        <w:t>. This surge indicates a heightened demand for options as investors seek protection against further declines, leading to increased margin requirements. The significant increase in premiums suggests that liquidity may become constrained, and positions may need to be liquidated at unfavorable prices, increasing the risk of margin calls.</w:t>
      </w:r>
    </w:p>
    <w:p>
      <w:pPr>
        <w:pStyle w:val="Heading3"/>
      </w:pPr>
      <w:r>
        <w:t>5. Actionable Recommendation</w:t>
      </w:r>
    </w:p>
    <w:p>
      <w:r>
        <w:t xml:space="preserve">To mitigate the identified risk, particularly the exposure to systemic downturns as highlighted by the 2008 Financial Crisis scenario, I recommend implementing a </w:t>
      </w:r>
      <w:r>
        <w:rPr>
          <w:b/>
        </w:rPr>
        <w:t>protective put strategy</w:t>
      </w:r>
      <w:r>
        <w:t>. This involves purchasing put options on key holdings (e.g., AAPL, MSFT) to hedge against potential declines in the underlying stock prices. This strategy will provide downside protection while allowing for upside potential, thus enhancing the robustness of the portfolio against extreme market movements.</w:t>
      </w:r>
    </w:p>
    <w:p>
      <w:pPr>
        <w:pStyle w:val="ListBullet"/>
      </w:pPr>
      <w:r/>
    </w:p>
    <w:p>
      <w:pPr>
        <w:pStyle w:val="ListBullet"/>
      </w:pPr>
      <w:r>
        <w:t>Conclusion:** The stress testing results reveal significant vulnerabilities in the options portfolio, particularly during systemic crises. By understanding the impacts of various stress scenarios and the behavior of the Greeks, we can take proactive measures to safeguard our positions and ensure operational integrity.</w:t>
      </w:r>
    </w:p>
    <w:p>
      <w:pPr>
        <w:pStyle w:val="ListBullet"/>
      </w:pPr>
      <w:r>
        <w:t>Next Steps:** I recommend a meeting to discuss the implementation of the protective put strategy and further analysis of the portfolio's exposure to systemic risks.</w:t>
      </w:r>
    </w:p>
    <w:p>
      <w:pPr>
        <w:pStyle w:val="ListBullet"/>
      </w:pPr>
      <w:r/>
    </w:p>
    <w:p>
      <w:pPr>
        <w:pStyle w:val="ListBullet"/>
      </w:pPr>
      <w:r>
        <w:t>Attachments:** Detailed Stress Test Results, Greeks Analysis, Historical Scenario Impact Summary.</w:t>
      </w:r>
    </w:p>
    <w:p>
      <w:pPr>
        <w:pStyle w:val="Heading3"/>
      </w:pPr>
      <w:r>
        <w:t>2.1.4 Summary of Put-Call Parity Testing for Equity</w:t>
      </w:r>
    </w:p>
    <w:p>
      <w:pPr>
        <w:pStyle w:val="Heading2"/>
      </w:pPr>
      <w:r>
        <w:t>Put-Call Parity Validation Analysis</w:t>
      </w:r>
    </w:p>
    <w:p>
      <w:r>
        <w:drawing>
          <wp:inline xmlns:a="http://schemas.openxmlformats.org/drawingml/2006/main" xmlns:pic="http://schemas.openxmlformats.org/drawingml/2006/picture">
            <wp:extent cx="5486400" cy="202276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2022764"/>
                    </a:xfrm>
                    <a:prstGeom prst="rect"/>
                  </pic:spPr>
                </pic:pic>
              </a:graphicData>
            </a:graphic>
          </wp:inline>
        </w:drawing>
      </w:r>
    </w:p>
    <w:p>
      <w:pPr>
        <w:pStyle w:val="Heading2"/>
      </w:pPr>
      <w:r>
        <w:t>Model Consistency Report</w:t>
      </w:r>
    </w:p>
    <w:p>
      <w:r>
        <w:t xml:space="preserve">1. </w:t>
      </w:r>
      <w:r>
        <w:rPr>
          <w:b/>
        </w:rPr>
        <w:t>Global Verdict</w:t>
      </w:r>
      <w:r>
        <w:t>: The pricing engine satisfies the Put-Call Parity theorem across all tested assets. All calculated left-hand side (LHS) and right-hand side (RHS) values match perfectly, with no significant deviations, confirming that the model adheres to the theoretical framework of Put-Call Parity.</w:t>
      </w:r>
    </w:p>
    <w:p>
      <w:r>
        <w:t xml:space="preserve">2. </w:t>
      </w:r>
      <w:r>
        <w:rPr>
          <w:b/>
        </w:rPr>
        <w:t>Precision Audit</w:t>
      </w:r>
      <w:r>
        <w:t>: The absolute differences (abs_diff) for NVDA and MSFT, specifically values like 2.84e-14 and 5.68e-14, are indicative of numerical noise rather than model flaws. These values are well within the acceptable threshold of 1e-12, suggesting that the discrepancies are due to floating-point arithmetic limitations rather than any underlying issues with the model's pricing logic.</w:t>
      </w:r>
    </w:p>
    <w:p>
      <w:r>
        <w:t xml:space="preserve">3. </w:t>
      </w:r>
      <w:r>
        <w:rPr>
          <w:b/>
        </w:rPr>
        <w:t>Asset Specifics</w:t>
      </w:r>
      <w:r>
        <w:t>: The performance across all tickers is uniform, with no unusual behavior detected. Each asset's pricing adheres to the Put-Call Parity without any significant deviations, indicating a consistent and reliable pricing mechanism across the board.</w:t>
      </w:r>
    </w:p>
    <w:p>
      <w:r>
        <w:t xml:space="preserve">4. </w:t>
      </w:r>
      <w:r>
        <w:rPr>
          <w:b/>
        </w:rPr>
        <w:t>Confidence Statement</w:t>
      </w:r>
      <w:r>
        <w:t>: The generated Call and Put prices are deemed 'clean' and reliable for downstream risk management and P&amp;L attribution. The model's adherence to Put-Call Parity, along with the negligible numerical noise observed, supports confidence in the integrity of the pricing engine's outputs.</w:t>
      </w:r>
    </w:p>
    <w:p>
      <w:r>
        <w:t>In conclusion, the options pricing engine demonstrates robust theoretical alignment and numerical precision, making it suitable for practical applications in risk management and financial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