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Ongoing Monitoring Analysis Report</w:t>
      </w:r>
    </w:p>
    <w:p>
      <w:pPr>
        <w:jc w:val="center"/>
      </w:pPr>
      <w:r>
        <w:rPr>
          <w:b/>
        </w:rPr>
        <w:t>Option Pricing, BSM</w:t>
      </w:r>
    </w:p>
    <w:p/>
    <w:p>
      <w:pPr>
        <w:jc w:val="center"/>
      </w:pPr>
      <w:r>
        <w:rPr>
          <w:b/>
        </w:rPr>
        <w:t xml:space="preserve">Author: </w:t>
      </w:r>
      <w:r>
        <w:rPr>
          <w:i w:val="0"/>
        </w:rPr>
        <w:t>John Doe</w:t>
      </w:r>
    </w:p>
    <w:p>
      <w:pPr>
        <w:jc w:val="center"/>
      </w:pPr>
      <w:r>
        <w:rPr>
          <w:b/>
        </w:rPr>
        <w:t xml:space="preserve">Group: </w:t>
      </w:r>
      <w:r>
        <w:t>Front Desk Modeling and Analytics</w:t>
      </w:r>
    </w:p>
    <w:p>
      <w:pPr>
        <w:jc w:val="center"/>
      </w:pPr>
      <w:r>
        <w:rPr>
          <w:b/>
        </w:rPr>
        <w:t xml:space="preserve">Report Date: </w:t>
      </w:r>
      <w:r>
        <w:t>February 02, 2026</w:t>
      </w:r>
    </w:p>
    <w:p>
      <w:pPr>
        <w:jc w:val="center"/>
      </w:pPr>
      <w:r>
        <w:rPr>
          <w:b/>
        </w:rPr>
        <w:t xml:space="preserve">Document Version: </w:t>
      </w:r>
      <w:r>
        <w:t>v1.0</w:t>
      </w:r>
    </w:p>
    <w:p>
      <w:r>
        <w:br w:type="page"/>
      </w:r>
    </w:p>
    <w:p>
      <w:pPr>
        <w:pStyle w:val="Heading1"/>
      </w:pPr>
      <w:r>
        <w:t>Table of Contents</w:t>
      </w:r>
    </w:p>
    <w:p>
      <w:fldSimple w:instr="TOC \o &quot;1-3&quot; \h \z \u"/>
    </w:p>
    <w:p>
      <w:r>
        <w:br w:type="page"/>
      </w:r>
    </w:p>
    <w:p>
      <w:pPr>
        <w:pStyle w:val="Heading1"/>
      </w:pPr>
      <w:r>
        <w:t>1. Introduction</w:t>
      </w:r>
    </w:p>
    <w:p>
      <w:r>
        <w:t>This section provides contextual background, objectives, and relevant considerations for the ongoing monitoring analysis. Subsequent sections expand on methodology, insights, and results.</w:t>
      </w:r>
    </w:p>
    <w:p>
      <w:pPr>
        <w:pStyle w:val="Heading1"/>
      </w:pPr>
      <w:r>
        <w:t>2. Summary of Analysis</w:t>
      </w:r>
    </w:p>
    <w:p>
      <w:pPr>
        <w:pStyle w:val="Heading3"/>
      </w:pPr>
      <w:r>
        <w:t>2.1.1 Summary of Pricing for Equity</w:t>
      </w:r>
    </w:p>
    <w:p>
      <w:r>
        <w:t>The pricing output of Equity listed in the below table,</w:t>
      </w:r>
    </w:p>
    <w:p>
      <w:pPr>
        <w:pStyle w:val="Heading3"/>
      </w:pPr>
      <w:r>
        <w:t>1. Data Quality &amp; Integrity</w:t>
      </w:r>
    </w:p>
    <w:p>
      <w:pPr>
        <w:pStyle w:val="Heading3"/>
      </w:pPr>
      <w:r>
        <w:t>Data Quality &amp; Integrity Assessment</w:t>
      </w:r>
    </w:p>
    <w:p>
      <w:pPr>
        <w:pStyle w:val="ListBullet"/>
      </w:pPr>
      <w:r>
        <w:rPr>
          <w:b/>
        </w:rPr>
        <w:t>Price &amp; Volatility Consistency</w:t>
      </w:r>
      <w:r>
        <w:t>:</w:t>
      </w:r>
    </w:p>
    <w:p>
      <w:pPr>
        <w:pStyle w:val="ListBullet"/>
      </w:pPr>
      <w:r>
        <w:t>Underlying prices and strike prices align with market conventions (e.g., call/put prices reflect intrinsic/extrinsic value logic).</w:t>
      </w:r>
    </w:p>
    <w:p>
      <w:pPr>
        <w:pStyle w:val="ListBullet"/>
      </w:pPr>
      <w:r>
        <w:t>Volatility values (e.g., 0.2–2.06) span reasonable ranges but include extreme outliers (e.g., 2.06 for MSFT put), potentially indicating data entry errors or market stress.</w:t>
      </w:r>
    </w:p>
    <w:p>
      <w:pPr>
        <w:pStyle w:val="ListBullet"/>
      </w:pPr>
      <w:r>
        <w:rPr>
          <w:b/>
        </w:rPr>
        <w:t>Greek Alignment with Black-Scholes Expectations</w:t>
      </w:r>
      <w:r>
        <w:t>:</w:t>
      </w:r>
    </w:p>
    <w:p>
      <w:pPr>
        <w:pStyle w:val="ListBullet"/>
      </w:pPr>
      <w:r>
        <w:rPr>
          <w:b/>
        </w:rPr>
        <w:t>Delta</w:t>
      </w:r>
      <w:r>
        <w:t>: Consistent with expectations (positive for calls, negative for puts). Deep-in-the-money options show deltas approaching ±1 (e.g., MSFT call with delta 0.8036).</w:t>
      </w:r>
    </w:p>
    <w:p>
      <w:pPr>
        <w:pStyle w:val="ListBullet"/>
      </w:pPr>
      <w:r>
        <w:rPr>
          <w:b/>
        </w:rPr>
        <w:t>Gamma</w:t>
      </w:r>
      <w:r>
        <w:t>: Uniformly positive, as expected, though magnitudes vary with moneyness and time-to-maturity.</w:t>
      </w:r>
    </w:p>
    <w:p>
      <w:pPr>
        <w:pStyle w:val="ListBullet"/>
      </w:pPr>
      <w:r>
        <w:rPr>
          <w:b/>
        </w:rPr>
        <w:t>Theta</w:t>
      </w:r>
      <w:r>
        <w:t>: Mostly negative (time decay), but magnitudes (e.g., -11.46 for MSFT put) suggest high sensitivity to time erosion, consistent with long-dated options.</w:t>
      </w:r>
    </w:p>
    <w:p>
      <w:pPr>
        <w:pStyle w:val="ListBullet"/>
      </w:pPr>
      <w:r>
        <w:rPr>
          <w:b/>
        </w:rPr>
        <w:t>Rho/Vega</w:t>
      </w:r>
      <w:r>
        <w:t>: Not explicitly provided, but implied volatility inputs appear to drive pricing logic.</w:t>
      </w:r>
    </w:p>
    <w:p>
      <w:pPr>
        <w:pStyle w:val="ListBullet"/>
      </w:pPr>
      <w:r>
        <w:rPr>
          <w:b/>
        </w:rPr>
        <w:t>Trade Anomalies</w:t>
      </w:r>
      <w:r>
        <w:t>:</w:t>
      </w:r>
    </w:p>
    <w:p>
      <w:pPr>
        <w:pStyle w:val="ListBullet"/>
      </w:pPr>
      <w:r>
        <w:rPr>
          <w:b/>
        </w:rPr>
        <w:t>High Volatility Entries</w:t>
      </w:r>
      <w:r>
        <w:t>: MSFT put (volatility 2.06) and NVDA put (volatility 1.995) exhibit implausibly high volatility, likely due to data errors or extreme market conditions.</w:t>
      </w:r>
    </w:p>
    <w:p>
      <w:pPr>
        <w:pStyle w:val="ListBullet"/>
      </w:pPr>
      <w:r>
        <w:rPr>
          <w:b/>
        </w:rPr>
        <w:t>Price Discrepancies</w:t>
      </w:r>
      <w:r>
        <w:t>: GOOGL put (price 22.56 vs. call 27.87 with similar strikes) shows asymmetry in pricing, potentially reflecting market sentiment or liquidity gaps.</w:t>
      </w:r>
    </w:p>
    <w:p>
      <w:pPr>
        <w:pStyle w:val="ListBullet"/>
      </w:pPr>
      <w:r>
        <w:rPr>
          <w:b/>
        </w:rPr>
        <w:t>Theta Magnitude</w:t>
      </w:r>
      <w:r>
        <w:t>: MSFT put (theta -11.46) and call (theta -11.51) with 1.94-year maturity show unusually high time decay, inconsistent with typical long-dated option behavior.</w:t>
      </w:r>
    </w:p>
    <w:p>
      <w:pPr>
        <w:pStyle w:val="ListBullet"/>
      </w:pPr>
      <w:r>
        <w:rPr>
          <w:b/>
        </w:rPr>
        <w:t>General Observations</w:t>
      </w:r>
      <w:r>
        <w:t>:</w:t>
      </w:r>
    </w:p>
    <w:p>
      <w:pPr>
        <w:pStyle w:val="ListBullet"/>
      </w:pPr>
      <w:r>
        <w:t>No negative prices or volatility values detected.</w:t>
      </w:r>
    </w:p>
    <w:p>
      <w:pPr>
        <w:pStyle w:val="ListBullet"/>
      </w:pPr>
      <w:r>
        <w:t>Greeks signs (delta, gamma, theta) align with theoretical expectations.</w:t>
      </w:r>
    </w:p>
    <w:p>
      <w:pPr>
        <w:pStyle w:val="ListBullet"/>
      </w:pPr>
      <w:r>
        <w:t>Data appears structurally valid but requires validation for extreme volatility values and theta magnitudes.</w:t>
      </w:r>
    </w:p>
    <w:p>
      <w:pPr>
        <w:pStyle w:val="Heading3"/>
      </w:pPr>
      <w:r>
        <w:t>2. Term Structure &amp; Time Decay</w:t>
      </w:r>
    </w:p>
    <w:p>
      <w:pPr>
        <w:pStyle w:val="Heading3"/>
      </w:pPr>
      <w:r>
        <w:t>Term Structure &amp; Time Decay Analysis</w:t>
      </w:r>
    </w:p>
    <w:p>
      <w:pPr>
        <w:pStyle w:val="ListBullet"/>
      </w:pPr>
      <w:r>
        <w:rPr>
          <w:b/>
        </w:rPr>
        <w:t>Impact of Time to Maturity (T) on Price, Vega, and Rho</w:t>
      </w:r>
      <w:r>
        <w:t>:</w:t>
      </w:r>
    </w:p>
    <w:p>
      <w:pPr>
        <w:pStyle w:val="ListBullet"/>
      </w:pPr>
      <w:r>
        <w:rPr>
          <w:b/>
        </w:rPr>
        <w:t>Price</w:t>
      </w:r>
      <w:r>
        <w:t>: Longer-dated options (e.g., MSFT call with T=1.944, Price=437.85) exhibit higher premiums due to increased time value compared to shorter-dated options (e.g., MSFT call with T=1.452, Price=326.04).</w:t>
      </w:r>
    </w:p>
    <w:p>
      <w:pPr>
        <w:pStyle w:val="ListBullet"/>
      </w:pPr>
      <w:r>
        <w:rPr>
          <w:b/>
        </w:rPr>
        <w:t>Vega</w:t>
      </w:r>
      <w:r>
        <w:t>: Vega increases with T (e.g., MSFT call with T=1.944, Vega=2.0667 vs. T=1.452, Vega=1.5367), reflecting greater sensitivity to volatility over extended periods.</w:t>
      </w:r>
    </w:p>
    <w:p>
      <w:pPr>
        <w:pStyle w:val="ListBullet"/>
      </w:pPr>
      <w:r>
        <w:rPr>
          <w:b/>
        </w:rPr>
        <w:t>Rho</w:t>
      </w:r>
      <w:r>
        <w:t>: Rho rises with T (e.g., MSFT call with T=1.944, Rho=0.0027 vs. T=1.452, Rho=0.003), as interest rate impacts compound over longer horizons.</w:t>
      </w:r>
    </w:p>
    <w:p>
      <w:pPr>
        <w:pStyle w:val="ListBullet"/>
      </w:pPr>
      <w:r>
        <w:rPr>
          <w:b/>
        </w:rPr>
        <w:t>Highest Theta Decay</w:t>
      </w:r>
      <w:r>
        <w:t>:</w:t>
      </w:r>
    </w:p>
    <w:p>
      <w:pPr>
        <w:pStyle w:val="ListBullet"/>
      </w:pPr>
      <w:r>
        <w:t>Options with the highest Theta decay (most negative Theta) include:</w:t>
      </w:r>
    </w:p>
    <w:p>
      <w:pPr>
        <w:pStyle w:val="ListBullet"/>
      </w:pPr>
      <w:r>
        <w:rPr>
          <w:b/>
        </w:rPr>
        <w:t>MSFT call (T=1.944, Theta=-11.5093)</w:t>
      </w:r>
      <w:r>
        <w:t>.</w:t>
      </w:r>
    </w:p>
    <w:p>
      <w:pPr>
        <w:pStyle w:val="ListBullet"/>
      </w:pPr>
      <w:r>
        <w:rPr>
          <w:b/>
        </w:rPr>
        <w:t>MSFT call (T=1.452, Theta=-11.7749)</w:t>
      </w:r>
      <w:r>
        <w:t>.</w:t>
      </w:r>
    </w:p>
    <w:p>
      <w:pPr>
        <w:pStyle w:val="ListBullet"/>
      </w:pPr>
      <w:r>
        <w:rPr>
          <w:b/>
        </w:rPr>
        <w:t>NVDA call (T=1.995, Theta=-6.553)</w:t>
      </w:r>
      <w:r>
        <w:t>.</w:t>
      </w:r>
    </w:p>
    <w:p>
      <w:pPr>
        <w:pStyle w:val="ListBullet"/>
      </w:pPr>
      <w:r>
        <w:t>Shorter-dated, at-the-money options (e.g., MSFT T=1.452) show accelerated decay as expiration approaches.</w:t>
      </w:r>
    </w:p>
    <w:p>
      <w:pPr>
        <w:pStyle w:val="ListBullet"/>
      </w:pPr>
      <w:r>
        <w:rPr>
          <w:b/>
        </w:rPr>
        <w:t>Gamma Risk Concentration</w:t>
      </w:r>
      <w:r>
        <w:t>:</w:t>
      </w:r>
    </w:p>
    <w:p>
      <w:pPr>
        <w:pStyle w:val="ListBullet"/>
      </w:pPr>
      <w:r>
        <w:t>Gamma is highest in shorter-dated, near-the-money options:</w:t>
      </w:r>
    </w:p>
    <w:p>
      <w:pPr>
        <w:pStyle w:val="ListBullet"/>
      </w:pPr>
      <w:r>
        <w:rPr>
          <w:b/>
        </w:rPr>
        <w:t>MSFT call (T=1.452, Gamma=1.5367)</w:t>
      </w:r>
      <w:r>
        <w:t>.</w:t>
      </w:r>
    </w:p>
    <w:p>
      <w:pPr>
        <w:pStyle w:val="ListBullet"/>
      </w:pPr>
      <w:r>
        <w:rPr>
          <w:b/>
        </w:rPr>
        <w:t>MSFT call (T=1.507, Gamma=1.3465)</w:t>
      </w:r>
      <w:r>
        <w:t>.</w:t>
      </w:r>
    </w:p>
    <w:p>
      <w:pPr>
        <w:pStyle w:val="ListBullet"/>
      </w:pPr>
      <w:r>
        <w:t>Longer-dated options (e.g., MSFT T=1.944, Gamma=0.0027) exhibit negligible Gamma, indicating stable Delta behavior.</w:t>
      </w:r>
    </w:p>
    <w:p>
      <w:r>
        <w:rPr>
          <w:b/>
        </w:rPr>
        <w:t>Key Insight</w:t>
      </w:r>
      <w:r>
        <w:t>: Time decay (Theta) and Gamma risk intensify as expiration nears, while Vega and Rho scale with maturity. Shorter-dated options (T &lt; 2 years) dominate risk concentration in Gamma and Theta.</w:t>
      </w:r>
    </w:p>
    <w:p>
      <w:pPr>
        <w:pStyle w:val="Heading3"/>
      </w:pPr>
      <w:r>
        <w:t>2.1.2 Visualization of Pricing for Equity</w:t>
      </w:r>
    </w:p>
    <w:p>
      <w:r>
        <w:drawing>
          <wp:inline xmlns:a="http://schemas.openxmlformats.org/drawingml/2006/main" xmlns:pic="http://schemas.openxmlformats.org/drawingml/2006/picture">
            <wp:extent cx="5029200" cy="299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99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2.1.2 Summary of Sensitivity Testing for Equity</w:t>
      </w:r>
    </w:p>
    <w:p>
      <w:pPr>
        <w:pStyle w:val="Heading3"/>
      </w:pPr>
      <w:r>
        <w:t>Portfolio Spot Stress (Gamma Profile)</w:t>
      </w:r>
    </w:p>
    <w:p>
      <w:pPr>
        <w:pStyle w:val="Heading3"/>
      </w:pPr>
      <w:r>
        <w:t>Analysis of Portfolio Spot Sensitivity</w:t>
      </w:r>
    </w:p>
    <w:p>
      <w:pPr>
        <w:pStyle w:val="Heading3"/>
      </w:pPr>
      <w:r>
        <w:t>1. Directional Bias (Delta View)</w:t>
      </w:r>
    </w:p>
    <w:p>
      <w:pPr>
        <w:pStyle w:val="ListBullet"/>
      </w:pPr>
      <w:r>
        <w:rPr>
          <w:b/>
        </w:rPr>
        <w:t>Portfolio gains on Up moves</w:t>
      </w:r>
      <w:r>
        <w:t>.</w:t>
      </w:r>
    </w:p>
    <w:p>
      <w:pPr>
        <w:pStyle w:val="ListBullet"/>
      </w:pPr>
      <w:r>
        <w:t xml:space="preserve">At +5% bump, PnL = </w:t>
      </w:r>
      <w:r>
        <w:rPr>
          <w:b/>
        </w:rPr>
        <w:t>+93.8</w:t>
      </w:r>
      <w:r>
        <w:t xml:space="preserve"> (vs. -50.91 at -5% bump).</w:t>
      </w:r>
    </w:p>
    <w:p>
      <w:pPr>
        <w:pStyle w:val="ListBullet"/>
      </w:pPr>
      <w:r>
        <w:t xml:space="preserve">Delta is </w:t>
      </w:r>
      <w:r>
        <w:rPr>
          <w:b/>
        </w:rPr>
        <w:t>positive</w:t>
      </w:r>
      <w:r>
        <w:t xml:space="preserve"> (long delta), indicating the portfolio benefits from upward price movements.</w:t>
      </w:r>
    </w:p>
    <w:p>
      <w:pPr>
        <w:pStyle w:val="Heading3"/>
      </w:pPr>
      <w:r>
        <w:t>2. Convexity (Gamma View)</w:t>
      </w:r>
    </w:p>
    <w:p>
      <w:pPr>
        <w:pStyle w:val="ListBullet"/>
      </w:pPr>
      <w:r>
        <w:rPr>
          <w:b/>
        </w:rPr>
        <w:t>Convex (Long Gamma)</w:t>
      </w:r>
      <w:r>
        <w:t>.</w:t>
      </w:r>
    </w:p>
    <w:p>
      <w:pPr>
        <w:pStyle w:val="ListBullet"/>
      </w:pPr>
      <w:r>
        <w:t>PnL increases at an accelerating rate for upward bumps (e.g., +32.51 at +2% → +93.8 at +5%).</w:t>
      </w:r>
    </w:p>
    <w:p>
      <w:pPr>
        <w:pStyle w:val="ListBullet"/>
      </w:pPr>
      <w:r>
        <w:t>Losses decelerate for downward bumps (e.g., -50.91 at -5% → -25.65 at -2%).</w:t>
      </w:r>
    </w:p>
    <w:p>
      <w:pPr>
        <w:pStyle w:val="ListBullet"/>
      </w:pPr>
      <w:r>
        <w:t xml:space="preserve">This asymmetry confirms </w:t>
      </w:r>
      <w:r>
        <w:rPr>
          <w:b/>
        </w:rPr>
        <w:t>long gamma exposure</w:t>
      </w:r>
      <w:r>
        <w:t>, where the portfolio benefits disproportionately from volatility.</w:t>
      </w:r>
    </w:p>
    <w:p>
      <w:pPr>
        <w:pStyle w:val="Heading3"/>
      </w:pPr>
      <w:r>
        <w:t>3. Tail Risk</w:t>
      </w:r>
    </w:p>
    <w:p>
      <w:pPr>
        <w:pStyle w:val="ListBullet"/>
      </w:pPr>
      <w:r>
        <w:rPr>
          <w:b/>
        </w:rPr>
        <w:t>Worst-case loss</w:t>
      </w:r>
      <w:r>
        <w:t xml:space="preserve">: </w:t>
      </w:r>
      <w:r>
        <w:rPr>
          <w:b/>
        </w:rPr>
        <w:t>-50.91</w:t>
      </w:r>
      <w:r>
        <w:t xml:space="preserve"> at a </w:t>
      </w:r>
      <w:r>
        <w:rPr>
          <w:b/>
        </w:rPr>
        <w:t>-5% bump</w:t>
      </w:r>
      <w:r>
        <w:t>.</w:t>
      </w:r>
    </w:p>
    <w:p>
      <w:pPr>
        <w:pStyle w:val="ListBullet"/>
      </w:pPr>
      <w:r>
        <w:t>Downside risk is significant relative to the portfolio value (</w:t>
      </w:r>
      <w:r>
        <w:rPr>
          <w:b/>
        </w:rPr>
        <w:t>~3.3% of portfolio value</w:t>
      </w:r>
      <w:r>
        <w:t xml:space="preserve"> at 1508.84).</w:t>
      </w:r>
    </w:p>
    <w:p>
      <w:pPr>
        <w:pStyle w:val="ListBullet"/>
      </w:pPr>
      <w:r>
        <w:t xml:space="preserve">While losses do not accelerate sharply (unlike short gamma), the asymmetry in PnL highlights </w:t>
      </w:r>
      <w:r>
        <w:rPr>
          <w:b/>
        </w:rPr>
        <w:t>asymmetric tail risk</w:t>
      </w:r>
      <w:r>
        <w:t xml:space="preserve"> (higher vulnerability to down moves vs. up moves).</w:t>
      </w:r>
    </w:p>
    <w:p>
      <w:pPr>
        <w:pStyle w:val="Heading3"/>
      </w:pPr>
      <w:r>
        <w:t>Conclusion</w:t>
      </w:r>
    </w:p>
    <w:p>
      <w:r>
        <w:t xml:space="preserve">The portfolio is </w:t>
      </w:r>
      <w:r>
        <w:rPr>
          <w:b/>
        </w:rPr>
        <w:t>long delta and long gamma</w:t>
      </w:r>
      <w:r>
        <w:t xml:space="preserve">, favoring upward price movements and volatility. However, it faces </w:t>
      </w:r>
      <w:r>
        <w:rPr>
          <w:b/>
        </w:rPr>
        <w:t>material tail risk</w:t>
      </w:r>
      <w:r>
        <w:t xml:space="preserve"> in a severe down move (-5%), which could erode ~3.3% of portfolio value. Risk mitigation (e.g., hedging downside exposure) may be warranted.</w:t>
      </w:r>
    </w:p>
    <w:p>
      <w:pPr>
        <w:pStyle w:val="Heading3"/>
      </w:pPr>
      <w:r>
        <w:t>Portfolio Volatility Stress (Vega Profile)</w:t>
      </w:r>
    </w:p>
    <w:p>
      <w:pPr>
        <w:pStyle w:val="Heading3"/>
      </w:pPr>
      <w:r>
        <w:t>Analysis of Portfolio Volatility Sensitivity</w:t>
      </w:r>
    </w:p>
    <w:p>
      <w:pPr>
        <w:pStyle w:val="Heading3"/>
      </w:pPr>
      <w:r>
        <w:t>1. Vega Exposure</w:t>
      </w:r>
    </w:p>
    <w:p>
      <w:pPr>
        <w:pStyle w:val="ListBullet"/>
      </w:pPr>
      <w:r>
        <w:rPr>
          <w:b/>
        </w:rPr>
        <w:t>Conclusion</w:t>
      </w:r>
      <w:r>
        <w:t xml:space="preserve">: The portfolio is </w:t>
      </w:r>
      <w:r>
        <w:rPr>
          <w:b/>
        </w:rPr>
        <w:t>Long Vega</w:t>
      </w:r>
      <w:r>
        <w:t>.</w:t>
      </w:r>
    </w:p>
    <w:p>
      <w:pPr>
        <w:pStyle w:val="ListBullet"/>
      </w:pPr>
      <w:r>
        <w:rPr>
          <w:b/>
        </w:rPr>
        <w:t>Rationale</w:t>
      </w:r>
      <w:r>
        <w:t>:</w:t>
      </w:r>
    </w:p>
    <w:p>
      <w:pPr>
        <w:pStyle w:val="ListBullet"/>
      </w:pPr>
      <w:r>
        <w:t>The Net PnL increases as volatility rises (e.g., +195.56 at +5% bump) and decreases as volatility falls (e.g., -186.51 at -5% bump).</w:t>
      </w:r>
    </w:p>
    <w:p>
      <w:pPr>
        <w:pStyle w:val="ListBullet"/>
      </w:pPr>
      <w:r>
        <w:t xml:space="preserve">This convexity in PnL (gains for upward volatility, losses for downward volatility) confirms a </w:t>
      </w:r>
      <w:r>
        <w:rPr>
          <w:b/>
        </w:rPr>
        <w:t>positive Vega exposure</w:t>
      </w:r>
      <w:r>
        <w:t>.</w:t>
      </w:r>
    </w:p>
    <w:p>
      <w:pPr>
        <w:pStyle w:val="Heading3"/>
      </w:pPr>
      <w:r>
        <w:t>2. Impact of PnL vs. Spot Movements</w:t>
      </w:r>
    </w:p>
    <w:p>
      <w:pPr>
        <w:pStyle w:val="ListBullet"/>
      </w:pPr>
      <w:r>
        <w:rPr>
          <w:b/>
        </w:rPr>
        <w:t>Conclusion</w:t>
      </w:r>
      <w:r>
        <w:t xml:space="preserve">: The PnL impact is </w:t>
      </w:r>
      <w:r>
        <w:rPr>
          <w:b/>
        </w:rPr>
        <w:t>significant</w:t>
      </w:r>
      <w:r>
        <w:t xml:space="preserve"> relative to the portfolio's value.</w:t>
      </w:r>
    </w:p>
    <w:p>
      <w:pPr>
        <w:pStyle w:val="ListBullet"/>
      </w:pPr>
      <w:r>
        <w:rPr>
          <w:b/>
        </w:rPr>
        <w:t>Rationale</w:t>
      </w:r>
      <w:r>
        <w:t>:</w:t>
      </w:r>
    </w:p>
    <w:p>
      <w:pPr>
        <w:pStyle w:val="ListBullet"/>
      </w:pPr>
      <w:r>
        <w:t xml:space="preserve">A 5% volatility bump generates a </w:t>
      </w:r>
      <w:r>
        <w:rPr>
          <w:b/>
        </w:rPr>
        <w:t>195.56 PnL gain</w:t>
      </w:r>
      <w:r>
        <w:t xml:space="preserve"> (12.5% of the base portfolio value of 1,559.75).</w:t>
      </w:r>
    </w:p>
    <w:p>
      <w:pPr>
        <w:pStyle w:val="ListBullet"/>
      </w:pPr>
      <w:r>
        <w:t>The sensitivity is asymmetric: losses for downward volatility (-186.51 at -5%) are slightly smaller in magnitude than gains for upward volatility, but both are material.</w:t>
      </w:r>
    </w:p>
    <w:p>
      <w:pPr>
        <w:pStyle w:val="ListBullet"/>
      </w:pPr>
      <w:r>
        <w:t>This suggests the portfolio is heavily exposed to volatility shifts, likely due to long-dated options or volatility-dependent strategies.</w:t>
      </w:r>
    </w:p>
    <w:p>
      <w:pPr>
        <w:pStyle w:val="Heading3"/>
      </w:pPr>
      <w:r>
        <w:t>Key Takeaway</w:t>
      </w:r>
    </w:p>
    <w:p>
      <w:r>
        <w:t xml:space="preserve">The portfolio is </w:t>
      </w:r>
      <w:r>
        <w:rPr>
          <w:b/>
        </w:rPr>
        <w:t>Long Vega</w:t>
      </w:r>
      <w:r>
        <w:t xml:space="preserve"> with </w:t>
      </w:r>
      <w:r>
        <w:rPr>
          <w:b/>
        </w:rPr>
        <w:t>high sensitivity to volatility changes</w:t>
      </w:r>
      <w:r>
        <w:t>, indicating a strategic or structural bias toward rising volatility. Risk mitigation (e.g., hedging with volatility derivatives) may be warranted if volatility is expected to decline.</w:t>
      </w:r>
    </w:p>
    <w:p>
      <w:pPr>
        <w:pStyle w:val="Heading3"/>
      </w:pPr>
      <w:r>
        <w:t>Portfolio Rate Stress (Rho Profile)</w:t>
      </w:r>
    </w:p>
    <w:p>
      <w:pPr>
        <w:pStyle w:val="Heading3"/>
      </w:pPr>
      <w:r>
        <w:t>1. Rho Exposure Analysis</w:t>
      </w:r>
    </w:p>
    <w:p>
      <w:r>
        <w:t xml:space="preserve">The portfolio exhibits </w:t>
      </w:r>
      <w:r>
        <w:rPr>
          <w:b/>
        </w:rPr>
        <w:t>positive rate sensitivity</w:t>
      </w:r>
      <w:r>
        <w:t xml:space="preserve"> (Rho), as evidenced by increasing Net PnL with rising interest rates. For example:</w:t>
      </w:r>
    </w:p>
    <w:p>
      <w:pPr>
        <w:pStyle w:val="ListBullet"/>
      </w:pPr>
      <w:r>
        <w:t xml:space="preserve">A </w:t>
      </w:r>
      <w:r>
        <w:rPr>
          <w:b/>
        </w:rPr>
        <w:t>+0.01% rate bump</w:t>
      </w:r>
      <w:r>
        <w:t xml:space="preserve"> generates </w:t>
      </w:r>
      <w:r>
        <w:rPr>
          <w:b/>
        </w:rPr>
        <w:t>+3.09 PnL</w:t>
      </w:r>
      <w:r>
        <w:t xml:space="preserve">, while a </w:t>
      </w:r>
      <w:r>
        <w:rPr>
          <w:b/>
        </w:rPr>
        <w:t>-0.01% bump</w:t>
      </w:r>
      <w:r>
        <w:t xml:space="preserve"> results in </w:t>
      </w:r>
      <w:r>
        <w:rPr>
          <w:b/>
        </w:rPr>
        <w:t>-1.4 PnL</w:t>
      </w:r>
      <w:r>
        <w:t>.</w:t>
      </w:r>
    </w:p>
    <w:p>
      <w:pPr>
        <w:pStyle w:val="ListBullet"/>
      </w:pPr>
      <w:r>
        <w:t xml:space="preserve">The PnL curve is </w:t>
      </w:r>
      <w:r>
        <w:rPr>
          <w:b/>
        </w:rPr>
        <w:t>non-linear</w:t>
      </w:r>
      <w:r>
        <w:t xml:space="preserve"> (convex), with larger gains for upward rate shocks (e.g., +30.91 PnL at +0.05% vs. -11.23 PnL at -0.05%).</w:t>
      </w:r>
    </w:p>
    <w:p>
      <w:r>
        <w:t xml:space="preserve">This asymmetry suggests the portfolio holds </w:t>
      </w:r>
      <w:r>
        <w:rPr>
          <w:b/>
        </w:rPr>
        <w:t>long-duration or rate-sensitive assets</w:t>
      </w:r>
      <w:r>
        <w:t xml:space="preserve"> (e.g., equities with high interest rate elasticity, long-dated bonds, or leveraged positions).</w:t>
      </w:r>
    </w:p>
    <w:p>
      <w:r>
        <w:br/>
      </w:r>
    </w:p>
    <w:p>
      <w:pPr>
        <w:pStyle w:val="Heading3"/>
      </w:pPr>
      <w:r>
        <w:t>2. Implication on Positioning</w:t>
      </w:r>
    </w:p>
    <w:p>
      <w:r>
        <w:t xml:space="preserve">The portfolio is </w:t>
      </w:r>
      <w:r>
        <w:rPr>
          <w:b/>
        </w:rPr>
        <w:t>net long in rate-sensitive assets</w:t>
      </w:r>
      <w:r>
        <w:t>. The positive PnL response to rate hikes implies:</w:t>
      </w:r>
    </w:p>
    <w:p>
      <w:pPr>
        <w:pStyle w:val="ListBullet"/>
      </w:pPr>
      <w:r>
        <w:rPr>
          <w:b/>
        </w:rPr>
        <w:t>Benefit from rising rates</w:t>
      </w:r>
      <w:r>
        <w:t>: The portfolio gains value as rates increase, consistent with long exposure to assets that appreciate in higher-rate environments (e.g., high-yield equities, long-duration bonds, or leveraged loans).</w:t>
      </w:r>
    </w:p>
    <w:p>
      <w:pPr>
        <w:pStyle w:val="ListBullet"/>
      </w:pPr>
      <w:r>
        <w:rPr>
          <w:b/>
        </w:rPr>
        <w:t>Risk of falling rates</w:t>
      </w:r>
      <w:r>
        <w:t>: Negative PnL for downward rate shocks indicates vulnerability to rate declines, which would erode portfolio value.</w:t>
      </w:r>
    </w:p>
    <w:p>
      <w:r>
        <w:t xml:space="preserve">This positioning reflects a </w:t>
      </w:r>
      <w:r>
        <w:rPr>
          <w:b/>
        </w:rPr>
        <w:t>bullish view on rate hikes</w:t>
      </w:r>
      <w:r>
        <w:t xml:space="preserve"> or a structural bias toward assets with positive duration. Risk mitigation may require hedging with short-duration instruments or rate derivatives.</w:t>
      </w:r>
    </w:p>
    <w:p>
      <w:r>
        <w:drawing>
          <wp:inline xmlns:a="http://schemas.openxmlformats.org/drawingml/2006/main" xmlns:pic="http://schemas.openxmlformats.org/drawingml/2006/picture">
            <wp:extent cx="4572000" cy="2667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Spot Price Sensitivity for Equity</w:t>
      </w:r>
    </w:p>
    <w:p>
      <w:r>
        <w:drawing>
          <wp:inline xmlns:a="http://schemas.openxmlformats.org/drawingml/2006/main" xmlns:pic="http://schemas.openxmlformats.org/drawingml/2006/picture">
            <wp:extent cx="4572000" cy="2667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Volatility Sensitivity for Equity</w:t>
      </w:r>
    </w:p>
    <w:p>
      <w:r>
        <w:drawing>
          <wp:inline xmlns:a="http://schemas.openxmlformats.org/drawingml/2006/main" xmlns:pic="http://schemas.openxmlformats.org/drawingml/2006/picture">
            <wp:extent cx="4572000" cy="2667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Interest Rate Sensitivity for Equity</w:t>
      </w:r>
    </w:p>
    <w:p>
      <w:r>
        <w:drawing>
          <wp:inline xmlns:a="http://schemas.openxmlformats.org/drawingml/2006/main" xmlns:pic="http://schemas.openxmlformats.org/drawingml/2006/picture">
            <wp:extent cx="5669280" cy="16366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36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16370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37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2.1.3 Summary of Stress Testing for Equity</w:t>
      </w:r>
    </w:p>
    <w:p>
      <w:pPr>
        <w:pStyle w:val="Heading3"/>
      </w:pPr>
      <w:r>
        <w:t>1. Tail Risk Severity</w:t>
      </w:r>
    </w:p>
    <w:p>
      <w:r>
        <w:t xml:space="preserve">The </w:t>
      </w:r>
      <w:r>
        <w:rPr>
          <w:b/>
        </w:rPr>
        <w:t>Volatility Collapse</w:t>
      </w:r>
      <w:r>
        <w:t xml:space="preserve"> scenario causes the most damage (-176.52% PnL), representing a </w:t>
      </w:r>
      <w:r>
        <w:rPr>
          <w:b/>
        </w:rPr>
        <w:t>terminal event</w:t>
      </w:r>
      <w:r>
        <w:t xml:space="preserve"> (wipeout). A loss exceeding 100% of invested capital indicates the portfolio is entirely liquidated under this stress case. This scenario likely reflects extreme volatility in tech stocks (e.g., MSFT’s -$1,156 loss), which dominate the portfolio’s exposure.</w:t>
      </w:r>
    </w:p>
    <w:p>
      <w:r>
        <w:br/>
      </w:r>
    </w:p>
    <w:p>
      <w:pPr>
        <w:pStyle w:val="Heading3"/>
      </w:pPr>
      <w:r>
        <w:t>2. Factor Sensitivity</w:t>
      </w:r>
    </w:p>
    <w:p>
      <w:r>
        <w:t xml:space="preserve">The portfolio is </w:t>
      </w:r>
      <w:r>
        <w:rPr>
          <w:b/>
        </w:rPr>
        <w:t>most sensitive to volatility shocks</w:t>
      </w:r>
      <w:r>
        <w:t xml:space="preserve"> (Volatility Collapse, VIX Spike) rather than market crashes or rate shocks. For example:</w:t>
      </w:r>
    </w:p>
    <w:p>
      <w:pPr>
        <w:pStyle w:val="ListBullet"/>
      </w:pPr>
      <w:r>
        <w:rPr>
          <w:b/>
        </w:rPr>
        <w:t>Volatility Collapse</w:t>
      </w:r>
      <w:r>
        <w:t>: -176.52% loss (terminal).</w:t>
      </w:r>
    </w:p>
    <w:p>
      <w:pPr>
        <w:pStyle w:val="ListBullet"/>
      </w:pPr>
      <w:r>
        <w:rPr>
          <w:b/>
        </w:rPr>
        <w:t>2008 Crisis</w:t>
      </w:r>
      <w:r>
        <w:t>: +269.94% loss (non-terminal but severe).</w:t>
      </w:r>
    </w:p>
    <w:p>
      <w:pPr>
        <w:pStyle w:val="ListBullet"/>
      </w:pPr>
      <w:r>
        <w:rPr>
          <w:b/>
        </w:rPr>
        <w:t>Rate Shock</w:t>
      </w:r>
      <w:r>
        <w:t>: +0.5% gain (portfolio benefits from rising rates).</w:t>
      </w:r>
    </w:p>
    <w:p>
      <w:r>
        <w:t xml:space="preserve">This suggests the portfolio is </w:t>
      </w:r>
      <w:r>
        <w:rPr>
          <w:b/>
        </w:rPr>
        <w:t>long volatility</w:t>
      </w:r>
      <w:r>
        <w:t xml:space="preserve"> (e.g., leveraged equity positions) and </w:t>
      </w:r>
      <w:r>
        <w:rPr>
          <w:b/>
        </w:rPr>
        <w:t>short interest rates</w:t>
      </w:r>
      <w:r>
        <w:t xml:space="preserve">. It is </w:t>
      </w:r>
      <w:r>
        <w:rPr>
          <w:b/>
        </w:rPr>
        <w:t>not well-protected</w:t>
      </w:r>
      <w:r>
        <w:t xml:space="preserve"> against sudden volatility spikes or liquidity crunches.</w:t>
      </w:r>
    </w:p>
    <w:p>
      <w:r>
        <w:br/>
      </w:r>
    </w:p>
    <w:p>
      <w:pPr>
        <w:pStyle w:val="Heading3"/>
      </w:pPr>
      <w:r>
        <w:t>3. Hedge Effectiveness</w:t>
      </w:r>
    </w:p>
    <w:p>
      <w:r>
        <w:t xml:space="preserve">The </w:t>
      </w:r>
      <w:r>
        <w:rPr>
          <w:b/>
        </w:rPr>
        <w:t>Worst Link</w:t>
      </w:r>
      <w:r>
        <w:t xml:space="preserve"> analysis reveals a critical flaw: </w:t>
      </w:r>
      <w:r>
        <w:rPr>
          <w:b/>
        </w:rPr>
        <w:t>MSFT</w:t>
      </w:r>
      <w:r>
        <w:t xml:space="preserve"> is the primary driver of losses in the Volatility Collapse scenario (-$1,156). Other scenarios (e.g., 2008 Crisis, Dot-com Crash) also point to </w:t>
      </w:r>
      <w:r>
        <w:rPr>
          <w:b/>
        </w:rPr>
        <w:t>GOOGL</w:t>
      </w:r>
      <w:r>
        <w:t xml:space="preserve"> as a recurring weak link. This indicates the portfolio is </w:t>
      </w:r>
      <w:r>
        <w:rPr>
          <w:b/>
        </w:rPr>
        <w:t>overconcentrated in large-cap tech stocks</w:t>
      </w:r>
      <w:r>
        <w:t xml:space="preserve"> (MSFT, GOOGL) without adequate hedging. The lack of diversification or sector-specific hedges leaves it vulnerable to idiosyncratic and systemic risks in these assets.</w:t>
      </w:r>
    </w:p>
    <w:p>
      <w:r>
        <w:br/>
      </w:r>
    </w:p>
    <w:p>
      <w:pPr>
        <w:pStyle w:val="Heading3"/>
      </w:pPr>
      <w:r>
        <w:t>4. Operational Check</w:t>
      </w:r>
    </w:p>
    <w:p>
      <w:r>
        <w:t xml:space="preserve">The </w:t>
      </w:r>
      <w:r>
        <w:rPr>
          <w:b/>
        </w:rPr>
        <w:t>Rate Shock (+200bps)</w:t>
      </w:r>
      <w:r>
        <w:t xml:space="preserve"> scenario shows a </w:t>
      </w:r>
      <w:r>
        <w:rPr>
          <w:b/>
        </w:rPr>
        <w:t>positive PnL (+0.5%)</w:t>
      </w:r>
      <w:r>
        <w:t xml:space="preserve">, which is counterintuitive for a "shock." This likely reflects </w:t>
      </w:r>
      <w:r>
        <w:rPr>
          <w:b/>
        </w:rPr>
        <w:t>short-duration or floating-rate positions</w:t>
      </w:r>
      <w:r>
        <w:t xml:space="preserve"> (e.g., short-term bonds, interest rate swaps) that benefit from rising rates. However, the </w:t>
      </w:r>
      <w:r>
        <w:rPr>
          <w:b/>
        </w:rPr>
        <w:t>VIX Spike</w:t>
      </w:r>
      <w:r>
        <w:t xml:space="preserve"> scenario (251.49% gain) suggests the portfolio may also hold </w:t>
      </w:r>
      <w:r>
        <w:rPr>
          <w:b/>
        </w:rPr>
        <w:t>long volatility instruments</w:t>
      </w:r>
      <w:r>
        <w:t xml:space="preserve"> (e.g., VIX futures, out-of-the-money options). These mixed signals imply a </w:t>
      </w:r>
      <w:r>
        <w:rPr>
          <w:b/>
        </w:rPr>
        <w:t>directionally biased strategy</w:t>
      </w:r>
      <w:r>
        <w:t xml:space="preserve"> with asymmetric risk/reward, which may not align with the stated portfolio objectives.</w:t>
      </w:r>
    </w:p>
    <w:p>
      <w:r>
        <w:br/>
      </w:r>
    </w:p>
    <w:p>
      <w:pPr>
        <w:pStyle w:val="Heading3"/>
      </w:pPr>
      <w:r>
        <w:t>5. Final Verdict</w:t>
      </w:r>
    </w:p>
    <w:p>
      <w:r>
        <w:rPr>
          <w:b/>
        </w:rPr>
        <w:t>Risk Profile: Directionally Biased</w:t>
      </w:r>
      <w:r>
        <w:t>.</w:t>
      </w:r>
    </w:p>
    <w:p>
      <w:pPr>
        <w:pStyle w:val="ListBullet"/>
      </w:pPr>
      <w:r>
        <w:t xml:space="preserve">The portfolio is </w:t>
      </w:r>
      <w:r>
        <w:rPr>
          <w:b/>
        </w:rPr>
        <w:t>extremely sensitive to volatility and liquidity risks</w:t>
      </w:r>
      <w:r>
        <w:t xml:space="preserve"> (Volatility Collapse is a terminal event).</w:t>
      </w:r>
    </w:p>
    <w:p>
      <w:pPr>
        <w:pStyle w:val="ListBullet"/>
      </w:pPr>
      <w:r>
        <w:t xml:space="preserve">It shows </w:t>
      </w:r>
      <w:r>
        <w:rPr>
          <w:b/>
        </w:rPr>
        <w:t>asymmetric behavior</w:t>
      </w:r>
      <w:r>
        <w:t>: gains in rate shocks (short-duration bias) but catastrophic losses in volatility-driven scenarios (long-volatility bias).</w:t>
      </w:r>
    </w:p>
    <w:p>
      <w:pPr>
        <w:pStyle w:val="ListBullet"/>
      </w:pPr>
      <w:r>
        <w:t xml:space="preserve">The </w:t>
      </w:r>
      <w:r>
        <w:rPr>
          <w:b/>
        </w:rPr>
        <w:t>lack of diversification</w:t>
      </w:r>
      <w:r>
        <w:t xml:space="preserve"> (reliance on MSFT/GOOGL) and absence of effective hedging against tail risks make it </w:t>
      </w:r>
      <w:r>
        <w:rPr>
          <w:b/>
        </w:rPr>
        <w:t>highly fragile in stressed markets</w:t>
      </w:r>
      <w:r>
        <w:t>, despite appearing robust in certain scenarios.</w:t>
      </w:r>
    </w:p>
    <w:p>
      <w:r>
        <w:drawing>
          <wp:inline xmlns:a="http://schemas.openxmlformats.org/drawingml/2006/main" xmlns:pic="http://schemas.openxmlformats.org/drawingml/2006/picture">
            <wp:extent cx="5029200" cy="28738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Stress Scenario Impact on Equity</w:t>
      </w:r>
    </w:p>
    <w:p>
      <w:pPr>
        <w:pStyle w:val="Heading2"/>
      </w:pPr>
      <w:r>
        <w:t>Call Stress Exposure by Underlying</w:t>
      </w:r>
    </w:p>
    <w:p>
      <w:r>
        <w:drawing>
          <wp:inline xmlns:a="http://schemas.openxmlformats.org/drawingml/2006/main" xmlns:pic="http://schemas.openxmlformats.org/drawingml/2006/picture">
            <wp:extent cx="5669280" cy="32302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0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Put Stress Exposure by Underlying</w:t>
      </w:r>
    </w:p>
    <w:p>
      <w:r>
        <w:drawing>
          <wp:inline xmlns:a="http://schemas.openxmlformats.org/drawingml/2006/main" xmlns:pic="http://schemas.openxmlformats.org/drawingml/2006/picture">
            <wp:extent cx="5669280" cy="32314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1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2.1.4 Summary of Put-Call Parity Testing for Equity</w:t>
      </w:r>
    </w:p>
    <w:p>
      <w:pPr>
        <w:pStyle w:val="Heading3"/>
      </w:pPr>
      <w:r>
        <w:t>Model Consistency</w:t>
      </w:r>
    </w:p>
    <w:p>
      <w:r>
        <w:t>The 100% pass rate indicates perfect adherence to put-call parity across all 25 analyzed pairs. This suggests either:</w:t>
      </w:r>
    </w:p>
    <w:p>
      <w:pPr>
        <w:pStyle w:val="ListBullet"/>
      </w:pPr>
      <w:r>
        <w:rPr>
          <w:b/>
        </w:rPr>
        <w:t>High market efficiency</w:t>
      </w:r>
      <w:r>
        <w:t xml:space="preserve"> with negligible arbitrage opportunities.</w:t>
      </w:r>
    </w:p>
    <w:p>
      <w:pPr>
        <w:pStyle w:val="ListBullet"/>
      </w:pPr>
      <w:r>
        <w:rPr>
          <w:b/>
        </w:rPr>
        <w:t>Data limitations</w:t>
      </w:r>
      <w:r>
        <w:t xml:space="preserve"> (e.g., synthetic or backtested data, or overly liquid assets where deviations are immediately corrected).</w:t>
      </w:r>
    </w:p>
    <w:p>
      <w:pPr>
        <w:pStyle w:val="ListBullet"/>
      </w:pPr>
      <w:r>
        <w:rPr>
          <w:b/>
        </w:rPr>
        <w:t>Rounded precision</w:t>
      </w:r>
      <w:r>
        <w:t xml:space="preserve"> (e.g., deviations exist but are masked by rounding to 4 decimal places).</w:t>
      </w:r>
    </w:p>
    <w:p>
      <w:pPr>
        <w:pStyle w:val="Heading3"/>
      </w:pPr>
      <w:r>
        <w:t>Arbitrage Assessment</w:t>
      </w:r>
    </w:p>
    <w:p>
      <w:r>
        <w:t xml:space="preserve">The "Top 5 Violations" show </w:t>
      </w:r>
      <w:r>
        <w:rPr>
          <w:b/>
        </w:rPr>
        <w:t>zero absolute deviations</w:t>
      </w:r>
      <w:r>
        <w:t xml:space="preserve"> (`abs_diff = 0`), confirming no actionable arbitrage opportunities. Even if deviations existed, the values here are </w:t>
      </w:r>
      <w:r>
        <w:rPr>
          <w:b/>
        </w:rPr>
        <w:t>insufficient to cover transaction costs</w:t>
      </w:r>
      <w:r>
        <w:t xml:space="preserve"> (e.g., bid-ask spreads, slippage, borrowing costs).</w:t>
      </w:r>
    </w:p>
    <w:p>
      <w:pPr>
        <w:pStyle w:val="Heading3"/>
      </w:pPr>
      <w:r>
        <w:t>Strike Bias</w:t>
      </w:r>
    </w:p>
    <w:p>
      <w:r>
        <w:t xml:space="preserve">No strike bias is evident in the data (all deviations = 0). However, in real-world scenarios, deviations at </w:t>
      </w:r>
      <w:r>
        <w:rPr>
          <w:b/>
        </w:rPr>
        <w:t>deep ITM/OTM strikes</w:t>
      </w:r>
      <w:r>
        <w:t xml:space="preserve"> often arise due to:</w:t>
      </w:r>
    </w:p>
    <w:p>
      <w:pPr>
        <w:pStyle w:val="ListBullet"/>
      </w:pPr>
      <w:r>
        <w:t>Low liquidity.</w:t>
      </w:r>
    </w:p>
    <w:p>
      <w:pPr>
        <w:pStyle w:val="ListBullet"/>
      </w:pPr>
      <w:r>
        <w:t>Wide bid-ask spreads.</w:t>
      </w:r>
    </w:p>
    <w:p>
      <w:pPr>
        <w:pStyle w:val="ListBullet"/>
      </w:pPr>
      <w:r>
        <w:t>Non-linear pricing effects (e.g., volatility skew).</w:t>
      </w:r>
    </w:p>
    <w:p>
      <w:pPr>
        <w:pStyle w:val="Heading3"/>
      </w:pPr>
      <w:r>
        <w:t>Recommendation</w:t>
      </w:r>
    </w:p>
    <w:p>
      <w:pPr>
        <w:pStyle w:val="ListBullet"/>
      </w:pPr>
      <w:r>
        <w:rPr>
          <w:b/>
        </w:rPr>
        <w:t>No data cleaning required</w:t>
      </w:r>
      <w:r>
        <w:t>: The dataset aligns with theoretical parity.</w:t>
      </w:r>
    </w:p>
    <w:p>
      <w:pPr>
        <w:pStyle w:val="ListBullet"/>
      </w:pPr>
      <w:r>
        <w:rPr>
          <w:b/>
        </w:rPr>
        <w:t>No arbitrage execution needed</w:t>
      </w:r>
      <w:r>
        <w:t>: Deviations are zero, and transaction costs would negate any marginal opportunities.</w:t>
      </w:r>
    </w:p>
    <w:p>
      <w:pPr>
        <w:pStyle w:val="ListBullet"/>
      </w:pPr>
      <w:r>
        <w:rPr>
          <w:b/>
        </w:rPr>
        <w:t>Monitor for anomalies</w:t>
      </w:r>
      <w:r>
        <w:t>: Maintain vigilance for future deviations, especially in illiquid strikes or during market stress.</w:t>
      </w:r>
    </w:p>
    <w:p>
      <w:r>
        <w:t>Visual verification of the parity relationship:</w:t>
      </w:r>
    </w:p>
    <w:p>
      <w:r>
        <w:drawing>
          <wp:inline xmlns:a="http://schemas.openxmlformats.org/drawingml/2006/main" xmlns:pic="http://schemas.openxmlformats.org/drawingml/2006/picture">
            <wp:extent cx="457200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Parity Regression (LHS vs RHS) for Equity</w:t>
      </w:r>
    </w:p>
    <w:p>
      <w:r>
        <w:drawing>
          <wp:inline xmlns:a="http://schemas.openxmlformats.org/drawingml/2006/main" xmlns:pic="http://schemas.openxmlformats.org/drawingml/2006/picture">
            <wp:extent cx="4572000" cy="3657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Deviation Magnitude across Strikes for Equity</w:t>
      </w:r>
    </w:p>
    <w:p>
      <w:pPr>
        <w:pStyle w:val="Heading2"/>
      </w:pPr>
      <w:r>
        <w:t>Put-Call Parity Validation Analysis</w:t>
      </w:r>
    </w:p>
    <w:p>
      <w:r>
        <w:drawing>
          <wp:inline xmlns:a="http://schemas.openxmlformats.org/drawingml/2006/main" xmlns:pic="http://schemas.openxmlformats.org/drawingml/2006/picture">
            <wp:extent cx="5486400" cy="202276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276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