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2"/>
        </w:rPr>
        <w:t>Ongoing Monitoring Analysis Report</w:t>
      </w:r>
    </w:p>
    <w:p>
      <w:pPr>
        <w:jc w:val="center"/>
      </w:pPr>
      <w:r>
        <w:rPr>
          <w:b/>
        </w:rPr>
        <w:t>Option Pricing, BSM</w:t>
      </w:r>
    </w:p>
    <w:p/>
    <w:p>
      <w:pPr>
        <w:jc w:val="center"/>
      </w:pPr>
      <w:r>
        <w:rPr>
          <w:b/>
        </w:rPr>
        <w:t xml:space="preserve">Author: </w:t>
      </w:r>
      <w:r>
        <w:rPr>
          <w:i w:val="0"/>
        </w:rPr>
        <w:t>John Doe</w:t>
      </w:r>
    </w:p>
    <w:p>
      <w:pPr>
        <w:jc w:val="center"/>
      </w:pPr>
      <w:r>
        <w:rPr>
          <w:b/>
        </w:rPr>
        <w:t xml:space="preserve">Group: </w:t>
      </w:r>
      <w:r>
        <w:t>Front Desk Modeling and Analytics</w:t>
      </w:r>
    </w:p>
    <w:p>
      <w:pPr>
        <w:jc w:val="center"/>
      </w:pPr>
      <w:r>
        <w:rPr>
          <w:b/>
        </w:rPr>
        <w:t xml:space="preserve">Report Date: </w:t>
      </w:r>
      <w:r>
        <w:t>February 12, 2026</w:t>
      </w:r>
    </w:p>
    <w:p>
      <w:pPr>
        <w:jc w:val="center"/>
      </w:pPr>
      <w:r>
        <w:rPr>
          <w:b/>
        </w:rPr>
        <w:t xml:space="preserve">Document Version: </w:t>
      </w:r>
      <w:r>
        <w:t>v1.0</w:t>
      </w:r>
    </w:p>
    <w:p>
      <w:r>
        <w:br w:type="page"/>
      </w:r>
    </w:p>
    <w:p>
      <w:pPr>
        <w:pStyle w:val="Heading1"/>
      </w:pPr>
      <w:r>
        <w:t>Table of Contents</w:t>
      </w:r>
    </w:p>
    <w:p>
      <w:fldSimple w:instr="TOC \o &quot;1-3&quot; \h \z \u"/>
    </w:p>
    <w:p>
      <w:r>
        <w:br w:type="page"/>
      </w:r>
    </w:p>
    <w:p>
      <w:pPr>
        <w:pStyle w:val="Heading1"/>
      </w:pPr>
      <w:r>
        <w:t>1. Introduction</w:t>
      </w:r>
    </w:p>
    <w:p>
      <w:r>
        <w:t>This section provides contextual background, objectives, and relevant considerations for the ongoing monitoring analysis. Subsequent sections expand on methodology, insights, and results.</w:t>
      </w:r>
    </w:p>
    <w:p>
      <w:pPr>
        <w:pStyle w:val="Heading1"/>
      </w:pPr>
      <w:r>
        <w:t>2. Summary of Analysis</w:t>
      </w:r>
    </w:p>
    <w:p>
      <w:r>
        <w:t xml:space="preserve">In this section, we will provide a summary of tests to evaluate the performance of the BSM model. 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Seq #</w:t>
            </w:r>
          </w:p>
        </w:tc>
        <w:tc>
          <w:tcPr>
            <w:tcW w:type="dxa" w:w="2160"/>
          </w:tcPr>
          <w:p>
            <w:r>
              <w:t>Test</w:t>
            </w:r>
          </w:p>
        </w:tc>
        <w:tc>
          <w:tcPr>
            <w:tcW w:type="dxa" w:w="2160"/>
          </w:tcPr>
          <w:p>
            <w:r>
              <w:t>Material</w:t>
            </w:r>
          </w:p>
        </w:tc>
        <w:tc>
          <w:tcPr>
            <w:tcW w:type="dxa" w:w="2160"/>
          </w:tcPr>
          <w:p>
            <w:r>
              <w:t>Test Conclusion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Diagnostic Test</w:t>
            </w:r>
          </w:p>
        </w:tc>
        <w:tc>
          <w:tcPr>
            <w:tcW w:type="dxa" w:w="2160"/>
          </w:tcPr>
          <w:p>
            <w:r>
              <w:t>See Section 2.1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Sensitivity Test</w:t>
            </w:r>
          </w:p>
        </w:tc>
        <w:tc>
          <w:tcPr>
            <w:tcW w:type="dxa" w:w="2160"/>
          </w:tcPr>
          <w:p>
            <w:r>
              <w:t>See Section 2.2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Stress Test</w:t>
            </w:r>
          </w:p>
        </w:tc>
        <w:tc>
          <w:tcPr>
            <w:tcW w:type="dxa" w:w="2160"/>
          </w:tcPr>
          <w:p>
            <w:r>
              <w:t>See Section 2.3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2.1 Summary of Diagnostic Test for Equity</w:t>
      </w:r>
    </w:p>
    <w:p>
      <w:pPr>
        <w:pStyle w:val="Heading3"/>
      </w:pPr>
      <w:r>
        <w:t>2.1.1 Data Quality &amp; Integrity</w:t>
      </w:r>
    </w:p>
    <w:p>
      <w:r>
        <w:rPr>
          <w:b/>
        </w:rPr>
        <w:t>date</w:t>
      </w:r>
      <w:r>
        <w:t>: No missingness; all entries are 2026-01-26. Cannot assess alignment with current reporting period without additional context.</w:t>
      </w:r>
    </w:p>
    <w:p>
      <w:r>
        <w:rPr>
          <w:b/>
        </w:rPr>
        <w:t>S &amp; K</w:t>
      </w:r>
      <w:r>
        <w:t>: All values positive; strikes are within reasonable proximity to spot prices (e.g., S=260.77, K=298.78).</w:t>
      </w:r>
    </w:p>
    <w:p>
      <w:r>
        <w:rPr>
          <w:b/>
        </w:rPr>
        <w:t>T</w:t>
      </w:r>
      <w:r>
        <w:t>: All values strictly positive (e.g., 0.23, 1.944).</w:t>
      </w:r>
    </w:p>
    <w:p>
      <w:r>
        <w:rPr>
          <w:b/>
        </w:rPr>
        <w:t>r &amp; sigma</w:t>
      </w:r>
      <w:r>
        <w:t>: Risk-free rate (0.045) and volatility values (e.g., 0.222, 0.258) are non-negative and expressed in decimals.</w:t>
      </w:r>
    </w:p>
    <w:p>
      <w:r>
        <w:rPr>
          <w:b/>
        </w:rPr>
        <w:t>Delta</w:t>
      </w:r>
      <w:r>
        <w:t>: Values within [0, 1] for calls (e.g., 0.7442) and [-1, 0] for puts (e.g., -0.2558).</w:t>
      </w:r>
    </w:p>
    <w:p>
      <w:r>
        <w:rPr>
          <w:b/>
        </w:rPr>
        <w:t>Gamma &amp; Vega</w:t>
      </w:r>
      <w:r>
        <w:t>: Gamma values non-negative (e.g., 0.003). Vega values non-negative (e.g., 1.5367), though some are unusually high.</w:t>
      </w:r>
    </w:p>
    <w:p>
      <w:r>
        <w:rPr>
          <w:b/>
        </w:rPr>
        <w:t>Theta</w:t>
      </w:r>
      <w:r>
        <w:t>: All values negative (e.g., -11.7749), consistent with long positions.</w:t>
      </w:r>
    </w:p>
    <w:p>
      <w:r>
        <w:rPr>
          <w:b/>
        </w:rPr>
        <w:t>Rho</w:t>
      </w:r>
      <w:r>
        <w:t>: Values (e.g., 326.0386, 437.8547) are orders of magnitude higher than typical financial ranges (usually 0.01–0.1). Positive for calls, negative for puts, but magnitudes are physically unreasonable.</w:t>
      </w:r>
    </w:p>
    <w:p>
      <w:r>
        <w:t>The pricing output of Equity listed in the below table,</w:t>
      </w:r>
    </w:p>
    <w:p>
      <w:r>
        <w:drawing>
          <wp:inline xmlns:a="http://schemas.openxmlformats.org/drawingml/2006/main" xmlns:pic="http://schemas.openxmlformats.org/drawingml/2006/picture">
            <wp:extent cx="5029200" cy="299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997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2.1.2 Put/Call Parity Check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t>underlying</w:t>
            </w:r>
          </w:p>
        </w:tc>
        <w:tc>
          <w:tcPr>
            <w:tcW w:type="dxa" w:w="2880"/>
          </w:tcPr>
          <w:p>
            <w:r/>
            <w:r>
              <w:t>put_call_pairs_count</w:t>
            </w:r>
          </w:p>
        </w:tc>
        <w:tc>
          <w:tcPr>
            <w:tcW w:type="dxa" w:w="2880"/>
          </w:tcPr>
          <w:p>
            <w:r/>
            <w:r>
              <w:t>fail_count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AAPL</w:t>
            </w:r>
          </w:p>
        </w:tc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TSLA</w:t>
            </w:r>
          </w:p>
        </w:tc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NVDA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MSFT</w:t>
            </w:r>
          </w:p>
        </w:tc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GOOGL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r>
        <w:t>Visual verification of the parity relationship:</w:t>
      </w:r>
    </w:p>
    <w:p>
      <w:r>
        <w:drawing>
          <wp:inline xmlns:a="http://schemas.openxmlformats.org/drawingml/2006/main" xmlns:pic="http://schemas.openxmlformats.org/drawingml/2006/picture">
            <wp:extent cx="4572000" cy="3657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Parity Regression (LHS vs RHS) for Equity</w:t>
      </w:r>
    </w:p>
    <w:p>
      <w:r>
        <w:drawing>
          <wp:inline xmlns:a="http://schemas.openxmlformats.org/drawingml/2006/main" xmlns:pic="http://schemas.openxmlformats.org/drawingml/2006/picture">
            <wp:extent cx="4572000" cy="3657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Deviation Magnitude across Strikes for Equity</w:t>
      </w:r>
    </w:p>
    <w:p>
      <w:pPr>
        <w:pStyle w:val="Heading2"/>
      </w:pPr>
      <w:r>
        <w:t>Put-Call Parity Validation Analysis</w:t>
      </w:r>
    </w:p>
    <w:p>
      <w:r>
        <w:drawing>
          <wp:inline xmlns:a="http://schemas.openxmlformats.org/drawingml/2006/main" xmlns:pic="http://schemas.openxmlformats.org/drawingml/2006/picture">
            <wp:extent cx="5486400" cy="20227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22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Summary of Sensitivity Test for Equity</w:t>
      </w:r>
    </w:p>
    <w:p>
      <w:pPr>
        <w:pStyle w:val="Heading3"/>
      </w:pPr>
      <w:r>
        <w:t>2.2.1 Spot &amp; Gamma Analysis</w:t>
      </w:r>
    </w:p>
    <w:p>
      <w:pPr>
        <w:pStyle w:val="Heading3"/>
      </w:pPr>
      <w:r>
        <w:t>Spot &amp; Gamma Analysis</w:t>
      </w:r>
    </w:p>
    <w:p>
      <w:pPr>
        <w:pStyle w:val="ListParagraph"/>
      </w:pPr>
      <w:r>
        <w:t xml:space="preserve">1. </w:t>
      </w:r>
      <w:r>
        <w:rPr>
          <w:b/>
        </w:rPr>
        <w:t>Directional Bias</w:t>
      </w:r>
      <w:r>
        <w:t>:</w:t>
      </w:r>
    </w:p>
    <w:p>
      <w:r>
        <w:t xml:space="preserve">The portfolio exhibits a </w:t>
      </w:r>
      <w:r>
        <w:rPr>
          <w:b/>
        </w:rPr>
        <w:t>neutral directional bias</w:t>
      </w:r>
      <w:r>
        <w:t xml:space="preserve">, as Delta does not dominate the PnL across up or down moves. For both positive and negative spot bumps, the </w:t>
      </w:r>
      <w:r>
        <w:rPr>
          <w:b/>
        </w:rPr>
        <w:t>Delta PnL aligns closely with the Real PnL</w:t>
      </w:r>
      <w:r>
        <w:t xml:space="preserve"> (e.g., at ±0.01, Delta explains ~96% of Real PnL). However, the consistent </w:t>
      </w:r>
      <w:r>
        <w:rPr>
          <w:b/>
        </w:rPr>
        <w:t>positive Gamma PnL</w:t>
      </w:r>
      <w:r>
        <w:t xml:space="preserve"> (e.g., +0.857 at ±0.01) indicates convexity adjustments offset directional exposure, neutralizing asymmetry in gains/losses.</w:t>
      </w:r>
    </w:p>
    <w:p>
      <w:pPr>
        <w:pStyle w:val="ListParagraph"/>
      </w:pPr>
      <w:r>
        <w:t xml:space="preserve">2. </w:t>
      </w:r>
      <w:r>
        <w:rPr>
          <w:b/>
        </w:rPr>
        <w:t>Convexity</w:t>
      </w:r>
      <w:r>
        <w:t>:</w:t>
      </w:r>
    </w:p>
    <w:p>
      <w:r>
        <w:t xml:space="preserve">The PnL curve is </w:t>
      </w:r>
      <w:r>
        <w:rPr>
          <w:b/>
        </w:rPr>
        <w:t>convex (Long Gamma)</w:t>
      </w:r>
      <w:r>
        <w:t xml:space="preserve">. Gamma PnL is </w:t>
      </w:r>
      <w:r>
        <w:rPr>
          <w:b/>
        </w:rPr>
        <w:t>positive for both up and down moves</w:t>
      </w:r>
      <w:r>
        <w:t>, confirming the portfolio benefits from volatility in either direction. For example:</w:t>
      </w:r>
    </w:p>
    <w:p>
      <w:pPr>
        <w:pStyle w:val="ListBullet"/>
      </w:pPr>
      <w:r>
        <w:t xml:space="preserve">At a </w:t>
      </w:r>
      <w:r>
        <w:rPr>
          <w:b/>
        </w:rPr>
        <w:t>+0.05 bump</w:t>
      </w:r>
      <w:r>
        <w:t xml:space="preserve">, Gamma contributes </w:t>
      </w:r>
      <w:r>
        <w:rPr>
          <w:b/>
        </w:rPr>
        <w:t>+21.43</w:t>
      </w:r>
      <w:r>
        <w:t xml:space="preserve"> to Real PnL (35% of total gain).</w:t>
      </w:r>
    </w:p>
    <w:p>
      <w:pPr>
        <w:pStyle w:val="ListBullet"/>
      </w:pPr>
      <w:r>
        <w:t xml:space="preserve">At a </w:t>
      </w:r>
      <w:r>
        <w:rPr>
          <w:b/>
        </w:rPr>
        <w:t>-0.05 bump</w:t>
      </w:r>
      <w:r>
        <w:t xml:space="preserve">, Gamma reduces losses by </w:t>
      </w:r>
      <w:r>
        <w:rPr>
          <w:b/>
        </w:rPr>
        <w:t>+21.43</w:t>
      </w:r>
      <w:r>
        <w:t xml:space="preserve"> (41% of total loss mitigation).</w:t>
      </w:r>
    </w:p>
    <w:p>
      <w:r>
        <w:t xml:space="preserve">The symmetry in Gamma PnL across up/down moves and the accelerating gains/loss mitigation confirm a </w:t>
      </w:r>
      <w:r>
        <w:rPr>
          <w:b/>
        </w:rPr>
        <w:t>Long Gamma position</w:t>
      </w:r>
      <w:r>
        <w:t>. No evidence of concavity or asymmetric loss acceleration is observed.</w:t>
      </w:r>
    </w:p>
    <w:p>
      <w:r>
        <w:rPr>
          <w:b/>
        </w:rPr>
        <w:t>Conclusion</w:t>
      </w:r>
      <w:r>
        <w:t>: The portfolio is directionally neutral but long convexity, with Gamma enhancing PnL in both rising and falling markets.</w:t>
      </w:r>
    </w:p>
    <w:p>
      <w:r>
        <w:drawing>
          <wp:inline xmlns:a="http://schemas.openxmlformats.org/drawingml/2006/main" xmlns:pic="http://schemas.openxmlformats.org/drawingml/2006/picture">
            <wp:extent cx="4572000" cy="293914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Spot Price Sensitivity for Equity</w:t>
      </w:r>
    </w:p>
    <w:p>
      <w:pPr>
        <w:pStyle w:val="Heading3"/>
      </w:pPr>
      <w:r>
        <w:t>2.2.2 Volatility Analysis</w:t>
      </w:r>
    </w:p>
    <w:p>
      <w:pPr>
        <w:pStyle w:val="Heading3"/>
      </w:pPr>
      <w:r>
        <w:t>Volatility Sensitivity Analysis</w:t>
      </w:r>
    </w:p>
    <w:p>
      <w:r>
        <w:t xml:space="preserve">The relationship between </w:t>
      </w:r>
      <w:r>
        <w:rPr>
          <w:b/>
        </w:rPr>
        <w:t>realized PnL</w:t>
      </w:r>
      <w:r>
        <w:t xml:space="preserve"> and </w:t>
      </w:r>
      <w:r>
        <w:rPr>
          <w:b/>
        </w:rPr>
        <w:t>volatility bump</w:t>
      </w:r>
      <w:r>
        <w:t xml:space="preserve"> (vol_bump) exhibits </w:t>
      </w:r>
      <w:r>
        <w:rPr>
          <w:b/>
        </w:rPr>
        <w:t>non-linear characteristics</w:t>
      </w:r>
      <w:r>
        <w:t>, though it approximates linearity within smaller intervals. Key observations:</w:t>
      </w:r>
    </w:p>
    <w:p>
      <w:pPr>
        <w:pStyle w:val="ListParagraph"/>
      </w:pPr>
      <w:r>
        <w:t xml:space="preserve">1. </w:t>
      </w:r>
      <w:r>
        <w:rPr>
          <w:b/>
        </w:rPr>
        <w:t>Non-linear Convexity</w:t>
      </w:r>
      <w:r>
        <w:t>:</w:t>
      </w:r>
    </w:p>
    <w:p>
      <w:pPr>
        <w:pStyle w:val="ListBullet"/>
      </w:pPr>
      <w:r>
        <w:t xml:space="preserve">The PnL increases at an increasing rate as volatility rises (e.g., </w:t>
      </w:r>
      <w:r>
        <w:rPr>
          <w:b/>
        </w:rPr>
        <w:t>+0.01 vol_bump</w:t>
      </w:r>
      <w:r>
        <w:t xml:space="preserve"> → </w:t>
      </w:r>
      <w:r>
        <w:rPr>
          <w:b/>
        </w:rPr>
        <w:t>+38.54 PnL</w:t>
      </w:r>
      <w:r>
        <w:t xml:space="preserve">, </w:t>
      </w:r>
      <w:r>
        <w:rPr>
          <w:b/>
        </w:rPr>
        <w:t>+0.02 vol_bump</w:t>
      </w:r>
      <w:r>
        <w:t xml:space="preserve"> → </w:t>
      </w:r>
      <w:r>
        <w:rPr>
          <w:b/>
        </w:rPr>
        <w:t>+77.40 PnL</w:t>
      </w:r>
      <w:r>
        <w:t xml:space="preserve">, </w:t>
      </w:r>
      <w:r>
        <w:rPr>
          <w:b/>
        </w:rPr>
        <w:t>+0.05 vol_bump</w:t>
      </w:r>
      <w:r>
        <w:t xml:space="preserve"> → </w:t>
      </w:r>
      <w:r>
        <w:rPr>
          <w:b/>
        </w:rPr>
        <w:t>+195.56 PnL</w:t>
      </w:r>
      <w:r>
        <w:t>). This convexity suggests the portfolio may contain long gamma positions or volatility-sensitive derivatives.</w:t>
      </w:r>
    </w:p>
    <w:p>
      <w:pPr>
        <w:pStyle w:val="ListParagraph"/>
      </w:pPr>
      <w:r>
        <w:t xml:space="preserve">2. </w:t>
      </w:r>
      <w:r>
        <w:rPr>
          <w:b/>
        </w:rPr>
        <w:t>Symmetry Deviations</w:t>
      </w:r>
      <w:r>
        <w:t>:</w:t>
      </w:r>
    </w:p>
    <w:p>
      <w:pPr>
        <w:pStyle w:val="ListBullet"/>
      </w:pPr>
      <w:r>
        <w:t xml:space="preserve">While PnL responses to symmetric volatility shocks (e.g., </w:t>
      </w:r>
      <w:r>
        <w:rPr>
          <w:b/>
        </w:rPr>
        <w:t>-0.01 vs. +0.01</w:t>
      </w:r>
      <w:r>
        <w:t xml:space="preserve">) are nearly proportional, the magnitude of PnL for </w:t>
      </w:r>
      <w:r>
        <w:rPr>
          <w:b/>
        </w:rPr>
        <w:t>+0.05 vol_bump</w:t>
      </w:r>
      <w:r>
        <w:t xml:space="preserve"> (</w:t>
      </w:r>
      <w:r>
        <w:rPr>
          <w:b/>
        </w:rPr>
        <w:t>+195.56</w:t>
      </w:r>
      <w:r>
        <w:t xml:space="preserve">) exceeds the absolute value of </w:t>
      </w:r>
      <w:r>
        <w:rPr>
          <w:b/>
        </w:rPr>
        <w:t>-0.05 vol_bump</w:t>
      </w:r>
      <w:r>
        <w:t xml:space="preserve"> (</w:t>
      </w:r>
      <w:r>
        <w:rPr>
          <w:b/>
        </w:rPr>
        <w:t>-186.51</w:t>
      </w:r>
      <w:r>
        <w:t>), indicating asymmetry.</w:t>
      </w:r>
    </w:p>
    <w:p>
      <w:pPr>
        <w:pStyle w:val="ListParagraph"/>
      </w:pPr>
      <w:r>
        <w:t xml:space="preserve">3. </w:t>
      </w:r>
      <w:r>
        <w:rPr>
          <w:b/>
        </w:rPr>
        <w:t>Marginal Sensitivity</w:t>
      </w:r>
      <w:r>
        <w:t>:</w:t>
      </w:r>
    </w:p>
    <w:p>
      <w:pPr>
        <w:pStyle w:val="ListBullet"/>
      </w:pPr>
      <w:r>
        <w:t xml:space="preserve">The marginal PnL per unit volatility bump increases with larger volatility shifts (e.g., </w:t>
      </w:r>
      <w:r>
        <w:rPr>
          <w:b/>
        </w:rPr>
        <w:t>-0.05 to -0.02</w:t>
      </w:r>
      <w:r>
        <w:t xml:space="preserve"> → </w:t>
      </w:r>
      <w:r>
        <w:rPr>
          <w:b/>
        </w:rPr>
        <w:t>+110.53 PnL</w:t>
      </w:r>
      <w:r>
        <w:t xml:space="preserve"> for </w:t>
      </w:r>
      <w:r>
        <w:rPr>
          <w:b/>
        </w:rPr>
        <w:t>+0.03 vol</w:t>
      </w:r>
      <w:r>
        <w:t xml:space="preserve">, vs. </w:t>
      </w:r>
      <w:r>
        <w:rPr>
          <w:b/>
        </w:rPr>
        <w:t>+0.02 to +0.05</w:t>
      </w:r>
      <w:r>
        <w:t xml:space="preserve"> → </w:t>
      </w:r>
      <w:r>
        <w:rPr>
          <w:b/>
        </w:rPr>
        <w:t>+118.16 PnL</w:t>
      </w:r>
      <w:r>
        <w:t xml:space="preserve"> for </w:t>
      </w:r>
      <w:r>
        <w:rPr>
          <w:b/>
        </w:rPr>
        <w:t>+0.03 vol</w:t>
      </w:r>
      <w:r>
        <w:t>).</w:t>
      </w:r>
    </w:p>
    <w:p>
      <w:r>
        <w:rPr>
          <w:b/>
        </w:rPr>
        <w:t>Conclusion</w:t>
      </w:r>
      <w:r>
        <w:t xml:space="preserve">: The relationship is </w:t>
      </w:r>
      <w:r>
        <w:rPr>
          <w:b/>
        </w:rPr>
        <w:t>non-linear</w:t>
      </w:r>
      <w:r>
        <w:t xml:space="preserve"> and convex, with PnL sensitivity amplifying at higher volatility levels. This behavior aligns with portfolios containing long-dated options or gamma-exposed instruments.</w:t>
      </w:r>
    </w:p>
    <w:p>
      <w:r>
        <w:drawing>
          <wp:inline xmlns:a="http://schemas.openxmlformats.org/drawingml/2006/main" xmlns:pic="http://schemas.openxmlformats.org/drawingml/2006/picture">
            <wp:extent cx="4572000" cy="2667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6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Volatility Price Sensitivity for Equity</w:t>
      </w:r>
    </w:p>
    <w:p>
      <w:r>
        <w:drawing>
          <wp:inline xmlns:a="http://schemas.openxmlformats.org/drawingml/2006/main" xmlns:pic="http://schemas.openxmlformats.org/drawingml/2006/picture">
            <wp:extent cx="5669280" cy="163449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4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163449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34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2.3 Summary of Stress Testing for Equity</w:t>
      </w:r>
    </w:p>
    <w:p>
      <w:pPr>
        <w:pStyle w:val="Heading3"/>
      </w:pPr>
      <w:r>
        <w:t>Risk Assessment: Stress Scenario Severity Ranking</w:t>
      </w:r>
    </w:p>
    <w:p>
      <w:pPr>
        <w:pStyle w:val="ListParagraph"/>
      </w:pPr>
      <w:r>
        <w:t xml:space="preserve">1. </w:t>
      </w:r>
      <w:r>
        <w:rPr>
          <w:b/>
        </w:rPr>
        <w:t>Liquidation Scenario (447.64% PnL)</w:t>
      </w:r>
    </w:p>
    <w:p>
      <w:pPr>
        <w:pStyle w:val="ListBullet"/>
      </w:pPr>
      <w:r>
        <w:rPr>
          <w:b/>
        </w:rPr>
        <w:t>Severity</w:t>
      </w:r>
      <w:r>
        <w:t>: Most severe.</w:t>
      </w:r>
    </w:p>
    <w:p>
      <w:pPr>
        <w:pStyle w:val="ListBullet"/>
      </w:pPr>
      <w:r>
        <w:rPr>
          <w:b/>
        </w:rPr>
        <w:t>Reason</w:t>
      </w:r>
      <w:r>
        <w:t>: The highest PnL percentage indicates an extreme adverse market condition where forced liquidation amplifies losses. This scenario likely reflects a liquidity crunch, compounding price declines due to concentrated selling pressure.</w:t>
      </w:r>
    </w:p>
    <w:p>
      <w:pPr>
        <w:pStyle w:val="ListParagraph"/>
      </w:pPr>
      <w:r>
        <w:t xml:space="preserve">2. </w:t>
      </w:r>
      <w:r>
        <w:rPr>
          <w:b/>
        </w:rPr>
        <w:t>Dot-com Crash (2000) (298.14% PnL)</w:t>
      </w:r>
    </w:p>
    <w:p>
      <w:pPr>
        <w:pStyle w:val="ListBullet"/>
      </w:pPr>
      <w:r>
        <w:rPr>
          <w:b/>
        </w:rPr>
        <w:t>Severity</w:t>
      </w:r>
      <w:r>
        <w:t>: Second most severe.</w:t>
      </w:r>
    </w:p>
    <w:p>
      <w:pPr>
        <w:pStyle w:val="ListBullet"/>
      </w:pPr>
      <w:r>
        <w:rPr>
          <w:b/>
        </w:rPr>
        <w:t>Reason</w:t>
      </w:r>
      <w:r>
        <w:t>: Reflects a prolonged bear market with significant overvaluation correction. The high PnL suggests substantial exposure to technology or growth equities, which historically underperformed during this period.</w:t>
      </w:r>
    </w:p>
    <w:p>
      <w:pPr>
        <w:pStyle w:val="ListParagraph"/>
      </w:pPr>
      <w:r>
        <w:t xml:space="preserve">3. </w:t>
      </w:r>
      <w:r>
        <w:rPr>
          <w:b/>
        </w:rPr>
        <w:t>2008 Financial Crisis (269.94% PnL)</w:t>
      </w:r>
    </w:p>
    <w:p>
      <w:pPr>
        <w:pStyle w:val="ListBullet"/>
      </w:pPr>
      <w:r>
        <w:rPr>
          <w:b/>
        </w:rPr>
        <w:t>Severity</w:t>
      </w:r>
      <w:r>
        <w:t>: Third most severe.</w:t>
      </w:r>
    </w:p>
    <w:p>
      <w:pPr>
        <w:pStyle w:val="ListBullet"/>
      </w:pPr>
      <w:r>
        <w:rPr>
          <w:b/>
        </w:rPr>
        <w:t>Reason</w:t>
      </w:r>
      <w:r>
        <w:t>: Systemic risk event with cascading failures in financial markets. The PnL aligns with historical equity drawdowns during the crisis, indicating sensitivity to macroeconomic shocks and credit market collapse.</w:t>
      </w:r>
    </w:p>
    <w:p>
      <w:pPr>
        <w:pStyle w:val="ListParagraph"/>
      </w:pPr>
      <w:r>
        <w:t xml:space="preserve">4. </w:t>
      </w:r>
      <w:r>
        <w:rPr>
          <w:b/>
        </w:rPr>
        <w:t>VIX Spike (No Stock Move) (251.49% PnL)</w:t>
      </w:r>
    </w:p>
    <w:p>
      <w:pPr>
        <w:pStyle w:val="ListBullet"/>
      </w:pPr>
      <w:r>
        <w:rPr>
          <w:b/>
        </w:rPr>
        <w:t>Severity</w:t>
      </w:r>
      <w:r>
        <w:t>: Moderately severe.</w:t>
      </w:r>
    </w:p>
    <w:p>
      <w:pPr>
        <w:pStyle w:val="ListBullet"/>
      </w:pPr>
      <w:r>
        <w:rPr>
          <w:b/>
        </w:rPr>
        <w:t>Reason</w:t>
      </w:r>
      <w:r>
        <w:t>: High volatility without directional price movement suggests exposure to volatility-linked instruments (e.g., VIX futures, options). The PnL underscores risks from volatility mispricing or hedging strategies during market turbulence.</w:t>
      </w:r>
    </w:p>
    <w:p>
      <w:pPr>
        <w:pStyle w:val="ListParagraph"/>
      </w:pPr>
      <w:r>
        <w:t xml:space="preserve">5. </w:t>
      </w:r>
      <w:r>
        <w:rPr>
          <w:b/>
        </w:rPr>
        <w:t>Black Monday (1987) (115.99% PnL)</w:t>
      </w:r>
    </w:p>
    <w:p>
      <w:pPr>
        <w:pStyle w:val="ListBullet"/>
      </w:pPr>
      <w:r>
        <w:rPr>
          <w:b/>
        </w:rPr>
        <w:t>Severity</w:t>
      </w:r>
      <w:r>
        <w:t>: Moderate.</w:t>
      </w:r>
    </w:p>
    <w:p>
      <w:pPr>
        <w:pStyle w:val="ListBullet"/>
      </w:pPr>
      <w:r>
        <w:rPr>
          <w:b/>
        </w:rPr>
        <w:t>Reason</w:t>
      </w:r>
      <w:r>
        <w:t>: Single-day crash with rapid price dislocation. The relatively lower PnL compared to multi-year crises may indicate shorter-term exposure or effective stop-loss mechanisms.</w:t>
      </w:r>
    </w:p>
    <w:p>
      <w:pPr>
        <w:pStyle w:val="ListParagraph"/>
      </w:pPr>
      <w:r>
        <w:t xml:space="preserve">6. </w:t>
      </w:r>
      <w:r>
        <w:rPr>
          <w:b/>
        </w:rPr>
        <w:t>Rate Shock (+200bps) (0.5% PnL)</w:t>
      </w:r>
    </w:p>
    <w:p>
      <w:pPr>
        <w:pStyle w:val="ListBullet"/>
      </w:pPr>
      <w:r>
        <w:rPr>
          <w:b/>
        </w:rPr>
        <w:t>Severity</w:t>
      </w:r>
      <w:r>
        <w:t>: Minimal.</w:t>
      </w:r>
    </w:p>
    <w:p>
      <w:pPr>
        <w:pStyle w:val="ListBullet"/>
      </w:pPr>
      <w:r>
        <w:rPr>
          <w:b/>
        </w:rPr>
        <w:t>Reason</w:t>
      </w:r>
      <w:r>
        <w:t>: Near-neutral impact suggests limited interest rate sensitivity. This could reflect a portfolio with low duration or hedged interest rate risk.</w:t>
      </w:r>
    </w:p>
    <w:p>
      <w:pPr>
        <w:pStyle w:val="ListParagraph"/>
      </w:pPr>
      <w:r>
        <w:t xml:space="preserve">7. </w:t>
      </w:r>
      <w:r>
        <w:rPr>
          <w:b/>
        </w:rPr>
        <w:t>Volatility Collapse (-176.52% PnL)</w:t>
      </w:r>
    </w:p>
    <w:p>
      <w:pPr>
        <w:pStyle w:val="ListBullet"/>
      </w:pPr>
      <w:r>
        <w:rPr>
          <w:b/>
        </w:rPr>
        <w:t>Severity</w:t>
      </w:r>
      <w:r>
        <w:t>: Outlier (positive outcome).</w:t>
      </w:r>
    </w:p>
    <w:p>
      <w:pPr>
        <w:pStyle w:val="ListBullet"/>
      </w:pPr>
      <w:r>
        <w:rPr>
          <w:b/>
        </w:rPr>
        <w:t>Reason</w:t>
      </w:r>
      <w:r>
        <w:t>: Negative PnL indicates a profit during a volatility decline, likely due to short volatility positions (e.g., selling options). While not a traditional stress scenario, it highlights counterparty or model risk if such positions are unanticipated.</w:t>
      </w:r>
    </w:p>
    <w:p>
      <w:r>
        <w:rPr>
          <w:b/>
        </w:rPr>
        <w:t>Key Observations</w:t>
      </w:r>
      <w:r>
        <w:t>:</w:t>
      </w:r>
    </w:p>
    <w:p>
      <w:pPr>
        <w:pStyle w:val="ListBullet"/>
      </w:pPr>
      <w:r>
        <w:t xml:space="preserve">The </w:t>
      </w:r>
      <w:r>
        <w:rPr>
          <w:b/>
        </w:rPr>
        <w:t>Liquidation Scenario</w:t>
      </w:r>
      <w:r>
        <w:t xml:space="preserve"> and </w:t>
      </w:r>
      <w:r>
        <w:rPr>
          <w:b/>
        </w:rPr>
        <w:t>Dot-com Crash</w:t>
      </w:r>
      <w:r>
        <w:t xml:space="preserve"> dominate risk exposure, emphasizing the need for liquidity risk management and long-term market correction preparedness.</w:t>
      </w:r>
    </w:p>
    <w:p>
      <w:pPr>
        <w:pStyle w:val="ListBullet"/>
      </w:pPr>
      <w:r>
        <w:t xml:space="preserve">The </w:t>
      </w:r>
      <w:r>
        <w:rPr>
          <w:b/>
        </w:rPr>
        <w:t>Volatility Collapse</w:t>
      </w:r>
      <w:r>
        <w:t xml:space="preserve"> scenario warrants further scrutiny to ensure alignment with portfolio objectives, as its positive outcome may mask hidden risks in volatility-dependent strategies.</w:t>
      </w:r>
    </w:p>
    <w:p>
      <w:r>
        <w:drawing>
          <wp:inline xmlns:a="http://schemas.openxmlformats.org/drawingml/2006/main" xmlns:pic="http://schemas.openxmlformats.org/drawingml/2006/picture">
            <wp:extent cx="5029200" cy="301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Figure: Stress Scenario Impact on Equity</w:t>
      </w:r>
    </w:p>
    <w:p>
      <w:pPr>
        <w:pStyle w:val="Heading2"/>
      </w:pPr>
      <w:r>
        <w:t>Call Stress Exposure by Underlying</w:t>
      </w:r>
    </w:p>
    <w:p>
      <w:r>
        <w:drawing>
          <wp:inline xmlns:a="http://schemas.openxmlformats.org/drawingml/2006/main" xmlns:pic="http://schemas.openxmlformats.org/drawingml/2006/picture">
            <wp:extent cx="5669280" cy="32219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1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Put Stress Exposure by Underlying</w:t>
      </w:r>
    </w:p>
    <w:p>
      <w:r>
        <w:drawing>
          <wp:inline xmlns:a="http://schemas.openxmlformats.org/drawingml/2006/main" xmlns:pic="http://schemas.openxmlformats.org/drawingml/2006/picture">
            <wp:extent cx="5669280" cy="322314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23144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