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Procing Model with Black-Scholes model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December 08, 2025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>2. Black–Scholes–Merton Pricing Results</w:t>
      </w:r>
    </w:p>
    <w:p>
      <w:r>
        <w:t>This section presents sample results from the Black–Scholes–Merton (BSM) option pricing model applied to a subset of the input dataset. The analysis focuses on key input parameters and their corresponding computed option prices.</w:t>
      </w:r>
    </w:p>
    <w:p>
      <w:r>
        <w:t xml:space="preserve">2.1 Input Data Overview  </w:t>
        <w:br/>
        <w:t xml:space="preserve">The dataset includes the following variables for each option contract:  </w:t>
        <w:br/>
        <w:t xml:space="preserve">- **Valuation Date:** Date on which the option price is calculated  </w:t>
        <w:br/>
        <w:t xml:space="preserve">- **Spot Price (S):** Current price of the underlying asset  </w:t>
        <w:br/>
        <w:t xml:space="preserve">- **Strike Price (K):** Exercise price of the option  </w:t>
        <w:br/>
        <w:t xml:space="preserve">- **Time to Maturity (T):** Time remaining until option expiration, expressed in years  </w:t>
        <w:br/>
        <w:t xml:space="preserve">- **Risk-Free Rate (r):** Annualized risk-free interest rate, continuously compounded  </w:t>
        <w:br/>
        <w:t xml:space="preserve">- **Volatility (σ):** Annualized standard deviation of the underlying asset’s returns  </w:t>
        <w:br/>
        <w:t xml:space="preserve">- **Option Type:** Call or Put  </w:t>
        <w:br/>
        <w:t>- **Asset Class:** Category of the underlying asset (e.g., equity, commodity)</w:t>
      </w:r>
    </w:p>
    <w:p>
      <w:r>
        <w:t xml:space="preserve">2.2 Pricing Results  </w:t>
        <w:br/>
        <w:t>The BSM model uses the above inputs to compute the theoretical option price (denoted as **BSM_Price**). The results demonstrate the sensitivity of option prices to the input parameters under the standard BSM assumptions.</w:t>
      </w:r>
    </w:p>
    <w:p>
      <w:r>
        <w:t xml:space="preserve">2.3 Data Quality Considerations  </w:t>
        <w:br/>
        <w:t xml:space="preserve">- Rows with missing or invalid input values may produce missing or unreliable BSM prices.  </w:t>
        <w:br/>
        <w:t>- Such cases require careful handling in production environments, including data validation and error management procedures to ensure pricing accuracy and robustness.</w:t>
      </w:r>
    </w:p>
    <w:p>
      <w:r>
        <w:t>This initial analysis provides a foundation for further validation and integration of the BSM pricing model within the broader quantitative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