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Ongoing Performance Analysis Report for Black-Scholes Option Pricing Model</w:t>
      </w:r>
    </w:p>
    <w:p>
      <w:pPr>
        <w:jc w:val="center"/>
      </w:pPr>
      <w:r>
        <w:rPr>
          <w:color w:val="0066CC"/>
          <w:sz w:val="32"/>
        </w:rPr>
        <w:t>Quantitative Analysis Report</w:t>
      </w:r>
    </w:p>
    <w:p/>
    <w:p/>
    <w:p/>
    <w:p>
      <w:pPr>
        <w:jc w:val="center"/>
      </w:pPr>
      <w:r>
        <w:rPr>
          <w:i/>
          <w:color w:val="646464"/>
          <w:sz w:val="24"/>
        </w:rPr>
        <w:t>Generated on:</w:t>
        <w:br/>
        <w:t>December 02, 2025</w:t>
        <w:br/>
        <w:t>13:09:50</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2"/>
      </w:pPr>
      <w:r>
        <w:t>Black-Scholes-Merton Model Validation Report</w:t>
      </w:r>
    </w:p>
    <w:p>
      <w:r>
        <w:rPr>
          <w:b/>
          <w:color w:val="008000"/>
        </w:rPr>
        <w:t>Report Date: 2025-12-02</w:t>
        <w:br/>
        <w:t>Analysis Period: 2025-09-01 to 2025-09-10</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Spot Price Range: [96.00, 104.00]</w:t>
      </w:r>
    </w:p>
    <w:p>
      <w:pPr>
        <w:pStyle w:val="ListBullet"/>
      </w:pPr>
      <w:r>
        <w:t>Average Spot: 100.00</w:t>
      </w:r>
    </w:p>
    <w:p>
      <w:pPr>
        <w:pStyle w:val="ListBullet"/>
      </w:pPr>
      <w:r>
        <w:t>Volatility (σ) Range: [18.00%, 23.00%]</w:t>
      </w:r>
    </w:p>
    <w:p>
      <w:pPr>
        <w:pStyle w:val="Heading3"/>
      </w:pPr>
      <w:r>
        <w:t>Strike Price Distribution</w:t>
      </w:r>
    </w:p>
    <w:p>
      <w:pPr>
        <w:pStyle w:val="ListBullet"/>
      </w:pPr>
      <w:r>
        <w:t>Strike Range: [101.00, 109.00]</w:t>
      </w:r>
    </w:p>
    <w:p>
      <w:pPr>
        <w:pStyle w:val="ListBullet"/>
      </w:pPr>
      <w:r>
        <w:t>Average Strike: 105.10</w:t>
      </w:r>
    </w:p>
    <w:p>
      <w:pPr>
        <w:pStyle w:val="Heading3"/>
      </w:pPr>
      <w:r>
        <w:t>Time to Maturity Profile</w:t>
      </w:r>
    </w:p>
    <w:p>
      <w:pPr>
        <w:pStyle w:val="ListBullet"/>
      </w:pPr>
      <w:r>
        <w:t>Time to Maturity Range: [0.10, 1.00] years</w:t>
      </w:r>
    </w:p>
    <w:p>
      <w:pPr>
        <w:pStyle w:val="ListBullet"/>
      </w:pPr>
      <w:r>
        <w:t>Average Maturity: 0.55 years</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ListBullet"/>
      </w:pPr>
      <w:r>
        <w:t>Theta: Avg = -5.495521, Range = [-8.645274, -1.619695]</w:t>
      </w:r>
    </w:p>
    <w:p>
      <w:pPr>
        <w:pStyle w:val="ListBullet"/>
      </w:pPr>
      <w:r>
        <w:t>Rho: Avg = -0.156661, Range = [-48.685326, 46.201481]</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Portfolio Theta: -54.955212</w:t>
      </w:r>
    </w:p>
    <w:p>
      <w:pPr>
        <w:pStyle w:val="ListBullet"/>
      </w:pPr>
      <w:r>
        <w:t>Average Theta: -5.495521</w:t>
      </w:r>
    </w:p>
    <w:p>
      <w:pPr>
        <w:pStyle w:val="ListBullet"/>
      </w:pPr>
      <w:r>
        <w:t>Theta Range: [-8.645274, -1.619695]</w:t>
      </w:r>
    </w:p>
    <w:p>
      <w:pPr>
        <w:pStyle w:val="ListBullet"/>
      </w:pPr>
      <w:r>
        <w:t>Expected Range: (-∞, 0]</w:t>
      </w:r>
    </w:p>
    <w:p>
      <w:pPr>
        <w:pStyle w:val="ListBullet"/>
      </w:pPr>
      <w:r>
        <w:t>Standard Deviation: 2.319570</w:t>
      </w:r>
    </w:p>
    <w:p>
      <w:pPr>
        <w:pStyle w:val="Heading3"/>
      </w:pPr>
      <w:r>
        <w:t>Rho Interest Rate Risk</w:t>
      </w:r>
    </w:p>
    <w:p>
      <w:pPr>
        <w:pStyle w:val="ListBullet"/>
      </w:pPr>
      <w:r>
        <w:t>Portfolio Rho: -1.566614</w:t>
      </w:r>
    </w:p>
    <w:p>
      <w:pPr>
        <w:pStyle w:val="ListBullet"/>
      </w:pPr>
      <w:r>
        <w:t>Average Rho: -0.156661</w:t>
      </w:r>
    </w:p>
    <w:p>
      <w:pPr>
        <w:pStyle w:val="ListBullet"/>
      </w:pPr>
      <w:r>
        <w:t>Rho Range: [-48.685326, 46.201481]</w:t>
      </w:r>
    </w:p>
    <w:p>
      <w:pPr>
        <w:pStyle w:val="ListBullet"/>
      </w:pPr>
      <w:r>
        <w:t>Expected Range: Varies</w:t>
      </w:r>
    </w:p>
    <w:p>
      <w:pPr>
        <w:pStyle w:val="ListBullet"/>
      </w:pPr>
      <w:r>
        <w:t>Standard Deviation: 31.994036</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2025-12-02 13:09:48</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