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Ongoing Performance Analysis Report for Black-Scholes Option Pricing Model</w:t>
      </w:r>
    </w:p>
    <w:p>
      <w:pPr>
        <w:jc w:val="center"/>
      </w:pPr>
      <w:r>
        <w:rPr>
          <w:color w:val="0066CC"/>
          <w:sz w:val="32"/>
        </w:rPr>
        <w:t>Quantitative Analysis Report</w:t>
      </w:r>
    </w:p>
    <w:p/>
    <w:p/>
    <w:p/>
    <w:p>
      <w:pPr>
        <w:jc w:val="center"/>
      </w:pPr>
      <w:r>
        <w:rPr>
          <w:i/>
          <w:color w:val="646464"/>
          <w:sz w:val="24"/>
        </w:rPr>
        <w:t>Generated on:</w:t>
        <w:br/>
        <w:t>November 18, 2025</w:t>
        <w:br/>
        <w:t>13:18:26</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2025-11-18</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2025-11-18 13:18:25</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