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Ongoing Performance Analysis Report for Black-Scholes Option Pricing Model</w:t>
      </w:r>
    </w:p>
    <w:p>
      <w:pPr>
        <w:jc w:val="center"/>
      </w:pPr>
      <w:r>
        <w:rPr>
          <w:color w:val="0066CC"/>
          <w:sz w:val="32"/>
        </w:rPr>
        <w:t>Quantitative Analysis Report</w:t>
      </w:r>
    </w:p>
    <w:p/>
    <w:p/>
    <w:p/>
    <w:p>
      <w:pPr>
        <w:jc w:val="center"/>
      </w:pPr>
      <w:r>
        <w:rPr>
          <w:i/>
          <w:color w:val="646464"/>
          <w:sz w:val="24"/>
        </w:rPr>
        <w:t>Generated on:</w:t>
        <w:br/>
        <w:t>November 18, 2025</w:t>
        <w:br/>
        <w:t>14:28:42</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2"/>
      </w:pPr>
      <w:r>
        <w:t>Black-Scholes-Merton Model Validation Report</w:t>
      </w:r>
    </w:p>
    <w:p>
      <w:r>
        <w:rPr>
          <w:b/>
          <w:color w:val="008000"/>
        </w:rPr>
        <w:t>Report Date: 2025-11-18</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2025-11-18 14:28:40</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