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Option Portfolio Analysis Report</w:t>
      </w:r>
    </w:p>
    <w:p>
      <w:pPr>
        <w:jc w:val="center"/>
      </w:pPr>
      <w:r>
        <w:rPr>
          <w:color w:val="0066CC"/>
          <w:sz w:val="32"/>
        </w:rPr>
        <w:t>Quantitative Analysis Report</w:t>
      </w:r>
    </w:p>
    <w:p/>
    <w:p/>
    <w:p/>
    <w:p>
      <w:pPr>
        <w:jc w:val="center"/>
      </w:pPr>
      <w:r>
        <w:rPr>
          <w:i/>
          <w:color w:val="646464"/>
          <w:sz w:val="24"/>
        </w:rPr>
        <w:t>Generated on:</w:t>
        <w:br/>
        <w:t>December 05, 2025</w:t>
        <w:br/>
        <w:t>13:11:17</w:t>
      </w:r>
    </w:p>
    <w:p/>
    <w:p/>
    <w:p/>
    <w:p/>
    <w:p/>
    <w:p/>
    <w:p/>
    <w:p/>
    <w:p>
      <w:pPr>
        <w:jc w:val="center"/>
      </w:pPr>
      <w:r>
        <w:rPr>
          <w:color w:val="969696"/>
          <w:sz w:val="20"/>
        </w:rPr>
        <w:t>CONFIDENTIAL</w:t>
        <w:br/>
        <w:t>For Internal Use Only</w:t>
      </w:r>
    </w:p>
    <w:p>
      <w:r>
        <w:br w:type="page"/>
      </w:r>
    </w:p>
    <w:p>
      <w:pPr>
        <w:pStyle w:val="Heading1"/>
        <w:jc w:val="left"/>
      </w:pPr>
      <w:r>
        <w:t>Table of Contents</w:t>
      </w:r>
    </w:p>
    <w:p>
      <w:r>
        <w:rPr>
          <w:color w:val="505050"/>
          <w:sz w:val="22"/>
        </w:rPr>
        <w:t>1. Executive Summary</w:t>
        <w:br/>
        <w:t>2. Portfolio Overview</w:t>
        <w:br/>
        <w:t>3. Validation Results</w:t>
        <w:br/>
        <w:t>4. Greeks Analysis</w:t>
        <w:br/>
        <w:t>5. Visualization Charts</w:t>
        <w:br/>
        <w:t>6. Recommendations</w:t>
      </w:r>
    </w:p>
    <w:p>
      <w:r>
        <w:br w:type="page"/>
      </w:r>
    </w:p>
    <w:p>
      <w:pPr>
        <w:pStyle w:val="Heading1"/>
      </w:pPr>
      <w:r>
        <w:t>OPTIONS PRICING ANALYSIS (OPA)</w:t>
      </w:r>
    </w:p>
    <w:p>
      <w:pPr>
        <w:pBdr>
          <w:bottom w:val="single" w:sz="12" w:space="1" w:color="003366"/>
        </w:pBdr>
      </w:pPr>
      <w:r/>
    </w:p>
    <w:p>
      <w:pPr>
        <w:pStyle w:val="Heading2"/>
      </w:pPr>
      <w:r>
        <w:t>Black-Scholes-Merton Model Validation Report</w:t>
      </w:r>
    </w:p>
    <w:p>
      <w:r>
        <w:rPr>
          <w:b/>
          <w:color w:val="008000"/>
        </w:rPr>
        <w:t>Report Date: 2025-12-05</w:t>
        <w:br/>
        <w:t>Analysis Period: 2025-12-05</w:t>
        <w:br/>
        <w:t>Total Instruments Analyzed: 10</w:t>
        <w:br/>
        <w:t>Validation Status: ✅ PASSED</w:t>
      </w:r>
    </w:p>
    <w:p>
      <w:pPr>
        <w:pStyle w:val="Heading2"/>
      </w:pPr>
      <w:r>
        <w:t>EXECUTIVE SUMMARY</w:t>
      </w:r>
    </w:p>
    <w:p>
      <w:pPr>
        <w:pStyle w:val="Heading3"/>
      </w:pPr>
      <w:r>
        <w:t>Validation Overview</w:t>
      </w:r>
    </w:p>
    <w:p>
      <w:pPr>
        <w:pStyle w:val="ListBullet"/>
      </w:pPr>
      <w:r>
        <w:t>Total Options Processed: 10</w:t>
      </w:r>
    </w:p>
    <w:p>
      <w:pPr>
        <w:pStyle w:val="ListBullet"/>
      </w:pPr>
      <w:r>
        <w:t>Validation Pass Rate: 100.0%</w:t>
      </w:r>
    </w:p>
    <w:p>
      <w:pPr>
        <w:pStyle w:val="ListBullet"/>
      </w:pPr>
      <w:r>
        <w:t>Failed Validations: 0</w:t>
      </w:r>
    </w:p>
    <w:p>
      <w:pPr>
        <w:pStyle w:val="ListBullet"/>
      </w:pPr>
      <w:r>
        <w:t>Option Types Distribution:</w:t>
      </w:r>
    </w:p>
    <w:p>
      <w:pPr>
        <w:pStyle w:val="ListBullet"/>
      </w:pPr>
      <w:r>
        <w:t>Call: 5 positions</w:t>
      </w:r>
    </w:p>
    <w:p>
      <w:pPr>
        <w:pStyle w:val="ListBullet"/>
      </w:pPr>
      <w:r>
        <w:t>Put: 5 positions</w:t>
      </w:r>
    </w:p>
    <w:p>
      <w:pPr>
        <w:pStyle w:val="Heading3"/>
      </w:pPr>
      <w:r>
        <w:t>Key Metrics</w:t>
      </w:r>
    </w:p>
    <w:p>
      <w:pPr>
        <w:pStyle w:val="ListBullet"/>
      </w:pPr>
      <w:r>
        <w:t>Average Option Price: 5.9433</w:t>
      </w:r>
    </w:p>
    <w:p>
      <w:pPr>
        <w:pStyle w:val="ListBullet"/>
      </w:pPr>
      <w:r>
        <w:t>Price Range: [2.3917, 8.0214]</w:t>
      </w:r>
    </w:p>
    <w:p>
      <w:pPr>
        <w:pStyle w:val="Heading2"/>
      </w:pPr>
      <w:r>
        <w:t>MARKET DATA SNAPSHOT</w:t>
      </w:r>
    </w:p>
    <w:p>
      <w:pPr>
        <w:pStyle w:val="Heading3"/>
      </w:pPr>
      <w:r>
        <w:t>Underlying Asset Statistics</w:t>
      </w:r>
    </w:p>
    <w:p>
      <w:pPr>
        <w:pStyle w:val="ListBullet"/>
      </w:pPr>
      <w:r>
        <w:t>Data not available</w:t>
      </w:r>
    </w:p>
    <w:p>
      <w:pPr>
        <w:pStyle w:val="Heading3"/>
      </w:pPr>
      <w:r>
        <w:t>Strike Price Distribution</w:t>
      </w:r>
    </w:p>
    <w:p>
      <w:pPr>
        <w:pStyle w:val="ListBullet"/>
      </w:pPr>
      <w:r>
        <w:t>Data not available</w:t>
      </w:r>
    </w:p>
    <w:p>
      <w:pPr>
        <w:pStyle w:val="Heading3"/>
      </w:pPr>
      <w:r>
        <w:t>Time to Maturity Profile</w:t>
      </w:r>
    </w:p>
    <w:p>
      <w:pPr>
        <w:pStyle w:val="ListBullet"/>
      </w:pPr>
      <w:r>
        <w:t>Data not available</w:t>
      </w:r>
    </w:p>
    <w:p>
      <w:pPr>
        <w:pStyle w:val="Heading2"/>
      </w:pPr>
      <w:r>
        <w:t>PRICING ANALYSIS</w:t>
      </w:r>
    </w:p>
    <w:p>
      <w:pPr>
        <w:pStyle w:val="Heading3"/>
      </w:pPr>
      <w:r>
        <w:t>Black-Scholes-Merton Results</w:t>
      </w:r>
    </w:p>
    <w:p>
      <w:pPr>
        <w:pStyle w:val="ListBullet"/>
      </w:pPr>
      <w:r>
        <w:t>No BSM pricing data available</w:t>
      </w:r>
    </w:p>
    <w:p>
      <w:pPr>
        <w:pStyle w:val="Heading3"/>
      </w:pPr>
      <w:r>
        <w:t>Greeks Summary</w:t>
      </w:r>
    </w:p>
    <w:p>
      <w:pPr>
        <w:pStyle w:val="ListBullet"/>
      </w:pPr>
      <w:r>
        <w:t>Delta: Avg = -0.058906, Range = [-0.756555, 0.542228]</w:t>
      </w:r>
    </w:p>
    <w:p>
      <w:pPr>
        <w:pStyle w:val="ListBullet"/>
      </w:pPr>
      <w:r>
        <w:t>Gamma: Avg = 0.029388, Range = [0.019835, 0.051599]</w:t>
      </w:r>
    </w:p>
    <w:p>
      <w:pPr>
        <w:pStyle w:val="ListBullet"/>
      </w:pPr>
      <w:r>
        <w:t>Vega: Avg = 27.770650, Range = [9.510738, 39.670524]</w:t>
      </w:r>
    </w:p>
    <w:p>
      <w:pPr>
        <w:pStyle w:val="Heading2"/>
      </w:pPr>
      <w:r>
        <w:t>VALIDATION RESULTS</w:t>
      </w:r>
    </w:p>
    <w:p>
      <w:pPr>
        <w:pStyle w:val="Heading3"/>
      </w:pPr>
      <w:r>
        <w:t>Overall Validation Status</w:t>
      </w:r>
    </w:p>
    <w:p>
      <w:pPr>
        <w:pStyle w:val="ListBullet"/>
      </w:pPr>
      <w:r>
        <w:t>Total Validations: 10</w:t>
      </w:r>
    </w:p>
    <w:p>
      <w:pPr>
        <w:pStyle w:val="ListBullet"/>
      </w:pPr>
      <w:r>
        <w:t>Passed: 10 (100.0%)</w:t>
      </w:r>
    </w:p>
    <w:p>
      <w:pPr>
        <w:pStyle w:val="ListBullet"/>
      </w:pPr>
      <w:r>
        <w:t>Failed: 0 (0.0%)</w:t>
      </w:r>
    </w:p>
    <w:p>
      <w:pPr>
        <w:pStyle w:val="Heading3"/>
      </w:pPr>
      <w:r>
        <w:t>Validation Details by Category</w:t>
      </w:r>
    </w:p>
    <w:p>
      <w:r>
        <w:t>All validations passed criteria: 10/10 options</w:t>
      </w:r>
    </w:p>
    <w:p>
      <w:pPr>
        <w:pStyle w:val="Heading3"/>
      </w:pPr>
      <w:r>
        <w:t>Critical Issues Identified</w:t>
      </w:r>
    </w:p>
    <w:p>
      <w:r>
        <w:rPr>
          <w:b/>
          <w:color w:val="008000"/>
        </w:rPr>
        <w:t>✅ No critical issues identified. All options passed validation checks.</w:t>
      </w:r>
    </w:p>
    <w:p>
      <w:pPr>
        <w:pStyle w:val="Heading2"/>
      </w:pPr>
      <w:r>
        <w:t>RISK METRICS ANALYSIS</w:t>
      </w:r>
    </w:p>
    <w:p>
      <w:pPr>
        <w:pStyle w:val="Heading3"/>
      </w:pPr>
      <w:r>
        <w:t>Delta Exposure</w:t>
      </w:r>
    </w:p>
    <w:p>
      <w:pPr>
        <w:pStyle w:val="ListBullet"/>
      </w:pPr>
      <w:r>
        <w:t>Portfolio Delta: -0.589060</w:t>
      </w:r>
    </w:p>
    <w:p>
      <w:pPr>
        <w:pStyle w:val="ListBullet"/>
      </w:pPr>
      <w:r>
        <w:t>Average Delta: -0.058906</w:t>
      </w:r>
    </w:p>
    <w:p>
      <w:pPr>
        <w:pStyle w:val="ListBullet"/>
      </w:pPr>
      <w:r>
        <w:t>Delta Range: [-0.756555, 0.542228]</w:t>
      </w:r>
    </w:p>
    <w:p>
      <w:pPr>
        <w:pStyle w:val="ListBullet"/>
      </w:pPr>
      <w:r>
        <w:t>Expected Range: [-1, 1]</w:t>
      </w:r>
    </w:p>
    <w:p>
      <w:pPr>
        <w:pStyle w:val="ListBullet"/>
      </w:pPr>
      <w:r>
        <w:t>Standard Deviation: 0.554151</w:t>
      </w:r>
    </w:p>
    <w:p>
      <w:pPr>
        <w:pStyle w:val="Heading3"/>
      </w:pPr>
      <w:r>
        <w:t>Gamma Profile</w:t>
      </w:r>
    </w:p>
    <w:p>
      <w:pPr>
        <w:pStyle w:val="ListBullet"/>
      </w:pPr>
      <w:r>
        <w:t>Portfolio Gamma: 0.293885</w:t>
      </w:r>
    </w:p>
    <w:p>
      <w:pPr>
        <w:pStyle w:val="ListBullet"/>
      </w:pPr>
      <w:r>
        <w:t>Average Gamma: 0.029388</w:t>
      </w:r>
    </w:p>
    <w:p>
      <w:pPr>
        <w:pStyle w:val="ListBullet"/>
      </w:pPr>
      <w:r>
        <w:t>Gamma Range: [0.019835, 0.051599]</w:t>
      </w:r>
    </w:p>
    <w:p>
      <w:pPr>
        <w:pStyle w:val="ListBullet"/>
      </w:pPr>
      <w:r>
        <w:t>Expected Range: [0, ∞)</w:t>
      </w:r>
    </w:p>
    <w:p>
      <w:pPr>
        <w:pStyle w:val="ListBullet"/>
      </w:pPr>
      <w:r>
        <w:t>Standard Deviation: 0.009872</w:t>
      </w:r>
    </w:p>
    <w:p>
      <w:pPr>
        <w:pStyle w:val="Heading3"/>
      </w:pPr>
      <w:r>
        <w:t>Vega Sensitivity</w:t>
      </w:r>
    </w:p>
    <w:p>
      <w:pPr>
        <w:pStyle w:val="ListBullet"/>
      </w:pPr>
      <w:r>
        <w:t>Portfolio Vega: 277.706496</w:t>
      </w:r>
    </w:p>
    <w:p>
      <w:pPr>
        <w:pStyle w:val="ListBullet"/>
      </w:pPr>
      <w:r>
        <w:t>Average Vega: 27.770650</w:t>
      </w:r>
    </w:p>
    <w:p>
      <w:pPr>
        <w:pStyle w:val="ListBullet"/>
      </w:pPr>
      <w:r>
        <w:t>Vega Range: [9.510738, 39.670524]</w:t>
      </w:r>
    </w:p>
    <w:p>
      <w:pPr>
        <w:pStyle w:val="ListBullet"/>
      </w:pPr>
      <w:r>
        <w:t>Expected Range: [0, ∞)</w:t>
      </w:r>
    </w:p>
    <w:p>
      <w:pPr>
        <w:pStyle w:val="ListBullet"/>
      </w:pPr>
      <w:r>
        <w:t>Standard Deviation: 9.756055</w:t>
      </w:r>
    </w:p>
    <w:p>
      <w:pPr>
        <w:pStyle w:val="Heading3"/>
      </w:pPr>
      <w:r>
        <w:t>Theta Decay</w:t>
      </w:r>
    </w:p>
    <w:p>
      <w:pPr>
        <w:pStyle w:val="ListBullet"/>
      </w:pPr>
      <w:r>
        <w:t>Theta data not available in validation results</w:t>
      </w:r>
    </w:p>
    <w:p>
      <w:pPr>
        <w:pStyle w:val="Heading3"/>
      </w:pPr>
      <w:r>
        <w:t>Rho Interest Rate Risk</w:t>
      </w:r>
    </w:p>
    <w:p>
      <w:pPr>
        <w:pStyle w:val="ListBullet"/>
      </w:pPr>
      <w:r>
        <w:t>Rho data not available in validation results</w:t>
      </w:r>
    </w:p>
    <w:p>
      <w:pPr>
        <w:pStyle w:val="Heading2"/>
      </w:pPr>
      <w:r>
        <w:t>DETAILED FINDINGS</w:t>
      </w:r>
    </w:p>
    <w:p>
      <w:pPr>
        <w:pStyle w:val="Heading3"/>
      </w:pPr>
      <w:r>
        <w:t>Options Performance Summary</w:t>
      </w:r>
    </w:p>
    <w:p>
      <w:r>
        <w:t>Analysis completed successfully for 10 options with 100.0% validation pass rate.</w:t>
      </w:r>
    </w:p>
    <w:p>
      <w:pPr>
        <w:pStyle w:val="Heading3"/>
      </w:pPr>
      <w:r>
        <w:t>Anomalies and Outliers</w:t>
      </w:r>
    </w:p>
    <w:p>
      <w:r>
        <w:t>No significant anomalies detected in the current dataset.</w:t>
      </w:r>
    </w:p>
    <w:p>
      <w:pPr>
        <w:pStyle w:val="Heading3"/>
      </w:pPr>
      <w:r>
        <w:t>Model Accuracy Assessment</w:t>
      </w:r>
    </w:p>
    <w:p>
      <w:r>
        <w:t>BSM model assumptions hold for the analyzed dataset. All Greeks within expected theoretical bounds.</w:t>
      </w:r>
    </w:p>
    <w:p>
      <w:pPr>
        <w:pStyle w:val="Heading2"/>
      </w:pPr>
      <w:r>
        <w:t>RECOMMENDATIONS</w:t>
      </w:r>
    </w:p>
    <w:p>
      <w:r>
        <w:rPr>
          <w:b/>
          <w:color w:val="008000"/>
        </w:rPr>
        <w:t>✅ All validations passed. The portfolio demonstrates consistent pricing and Greeks within expected theoretical bounds.</w:t>
      </w:r>
    </w:p>
    <w:p>
      <w:pPr>
        <w:pStyle w:val="Heading2"/>
      </w:pPr>
      <w:r>
        <w:t>APPENDIX</w:t>
      </w:r>
    </w:p>
    <w:p>
      <w:pPr>
        <w:pStyle w:val="Heading3"/>
      </w:pPr>
      <w:r>
        <w:t>Methodology</w:t>
      </w:r>
    </w:p>
    <w:p>
      <w:r>
        <w:t>This analysis employs the Black-Scholes-Merton (BSM) pricing model for European-style options. The model assumes:</w:t>
        <w:br/>
        <w:t>- Constant volatility (σ)</w:t>
        <w:br/>
        <w:t>- Log-normal distribution of underlying asset returns</w:t>
        <w:br/>
        <w:t>- No dividends during option life</w:t>
        <w:br/>
        <w:t>- Constant risk-free rate (r)</w:t>
        <w:br/>
        <w:t>- Frictionless markets</w:t>
      </w:r>
    </w:p>
    <w:p>
      <w:pPr>
        <w:pStyle w:val="Heading3"/>
      </w:pPr>
      <w:r>
        <w:t>Greeks Definitions</w:t>
      </w:r>
    </w:p>
    <w:p>
      <w:pPr>
        <w:pStyle w:val="ListBullet"/>
      </w:pPr>
      <w:r>
        <w:t>Delta (Δ): Rate of change of option price with respect to underlying asset price</w:t>
      </w:r>
    </w:p>
    <w:p>
      <w:pPr>
        <w:pStyle w:val="ListBullet"/>
      </w:pPr>
      <w:r>
        <w:t>Gamma (Γ): Rate of change of delta with respect to underlying asset price</w:t>
      </w:r>
    </w:p>
    <w:p>
      <w:pPr>
        <w:pStyle w:val="ListBullet"/>
      </w:pPr>
      <w:r>
        <w:t>Vega (ν): Sensitivity to volatility changes</w:t>
      </w:r>
    </w:p>
    <w:p>
      <w:pPr>
        <w:pStyle w:val="ListBullet"/>
      </w:pPr>
      <w:r>
        <w:t>Theta (Θ): Time decay of option value</w:t>
      </w:r>
    </w:p>
    <w:p>
      <w:pPr>
        <w:pStyle w:val="ListBullet"/>
      </w:pPr>
      <w:r>
        <w:t>Rho (ρ): Sensitivity to interest rate changes</w:t>
      </w:r>
    </w:p>
    <w:p>
      <w:pPr>
        <w:pStyle w:val="Heading3"/>
      </w:pPr>
      <w:r>
        <w:t>Validation Criteria</w:t>
      </w:r>
    </w:p>
    <w:p>
      <w:r>
        <w:t>Options are validated against the following rules:</w:t>
        <w:br/>
        <w:t>1. Delta bounds: Call [0,1], Put [-1,0]</w:t>
        <w:br/>
        <w:t>2. Gamma bounds: [0, ∞)</w:t>
        <w:br/>
        <w:t>3. Vega bounds: [0, ∞)</w:t>
        <w:br/>
        <w:t>4. Price consistency checks</w:t>
        <w:br/>
        <w:t>5. Put-Call parity (where applicable)</w:t>
      </w:r>
    </w:p>
    <w:p>
      <w:r>
        <w:t>Disclaimer: This report is generated for analytical purposes only. It does not constitute investment advice or recommendations. All pricing models are subject to assumptions and limitations. Users should conduct independent verification before making investment decisions.</w:t>
      </w:r>
    </w:p>
    <w:p>
      <w:r>
        <w:t>Report Generated: 2025-12-05 13:11:16</w:t>
        <w:br/>
        <w:t>System: AI-Powered Options Analytics Platform</w:t>
        <w:br/>
        <w:t>Model Version: BSM v1.0</w:t>
      </w:r>
    </w:p>
    <w:p>
      <w:r>
        <w:br w:type="page"/>
      </w:r>
    </w:p>
    <w:p>
      <w:pPr>
        <w:pStyle w:val="Heading1"/>
      </w:pPr>
      <w:r>
        <w:t>Visualization Charts</w:t>
      </w:r>
    </w:p>
    <w:p>
      <w:pPr>
        <w:pBdr>
          <w:bottom w:val="single" w:sz="12" w:space="1" w:color="003366"/>
        </w:pBdr>
      </w:pPr>
      <w:r/>
    </w:p>
    <w:p/>
    <w:p>
      <w:pPr>
        <w:pStyle w:val="Heading2"/>
      </w:pPr>
      <w:r>
        <w:t>Chart 1: Option Prices</w:t>
      </w:r>
    </w:p>
    <w:p>
      <w:pPr>
        <w:jc w:val="center"/>
      </w:pPr>
      <w:r>
        <w:drawing>
          <wp:inline xmlns:a="http://schemas.openxmlformats.org/drawingml/2006/main" xmlns:pic="http://schemas.openxmlformats.org/drawingml/2006/picture">
            <wp:extent cx="5486400" cy="2324210"/>
            <wp:docPr id="1" name="Picture 1"/>
            <wp:cNvGraphicFramePr>
              <a:graphicFrameLocks noChangeAspect="1"/>
            </wp:cNvGraphicFramePr>
            <a:graphic>
              <a:graphicData uri="http://schemas.openxmlformats.org/drawingml/2006/picture">
                <pic:pic>
                  <pic:nvPicPr>
                    <pic:cNvPr id="0" name="option_prices.png"/>
                    <pic:cNvPicPr/>
                  </pic:nvPicPr>
                  <pic:blipFill>
                    <a:blip r:embed="rId9"/>
                    <a:stretch>
                      <a:fillRect/>
                    </a:stretch>
                  </pic:blipFill>
                  <pic:spPr>
                    <a:xfrm>
                      <a:off x="0" y="0"/>
                      <a:ext cx="5486400" cy="2324210"/>
                    </a:xfrm>
                    <a:prstGeom prst="rect"/>
                  </pic:spPr>
                </pic:pic>
              </a:graphicData>
            </a:graphic>
          </wp:inline>
        </w:drawing>
      </w:r>
    </w:p>
    <w:p>
      <w:pPr>
        <w:jc w:val="center"/>
      </w:pPr>
      <w:r>
        <w:rPr>
          <w:i/>
          <w:color w:val="808080"/>
          <w:sz w:val="18"/>
        </w:rPr>
        <w:t>Figure 1: Option Prices</w:t>
      </w:r>
    </w:p>
    <w:p/>
    <w:p>
      <w:pPr>
        <w:pStyle w:val="Heading2"/>
      </w:pPr>
      <w:r>
        <w:t>Chart 2: Greeks Sensitivity</w:t>
      </w:r>
    </w:p>
    <w:p>
      <w:pPr>
        <w:jc w:val="center"/>
      </w:pPr>
      <w:r>
        <w:drawing>
          <wp:inline xmlns:a="http://schemas.openxmlformats.org/drawingml/2006/main" xmlns:pic="http://schemas.openxmlformats.org/drawingml/2006/picture">
            <wp:extent cx="5486400" cy="3647383"/>
            <wp:docPr id="2" name="Picture 2"/>
            <wp:cNvGraphicFramePr>
              <a:graphicFrameLocks noChangeAspect="1"/>
            </wp:cNvGraphicFramePr>
            <a:graphic>
              <a:graphicData uri="http://schemas.openxmlformats.org/drawingml/2006/picture">
                <pic:pic>
                  <pic:nvPicPr>
                    <pic:cNvPr id="0" name="greeks_sensitivity.png"/>
                    <pic:cNvPicPr/>
                  </pic:nvPicPr>
                  <pic:blipFill>
                    <a:blip r:embed="rId10"/>
                    <a:stretch>
                      <a:fillRect/>
                    </a:stretch>
                  </pic:blipFill>
                  <pic:spPr>
                    <a:xfrm>
                      <a:off x="0" y="0"/>
                      <a:ext cx="5486400" cy="3647383"/>
                    </a:xfrm>
                    <a:prstGeom prst="rect"/>
                  </pic:spPr>
                </pic:pic>
              </a:graphicData>
            </a:graphic>
          </wp:inline>
        </w:drawing>
      </w:r>
    </w:p>
    <w:p>
      <w:pPr>
        <w:jc w:val="center"/>
      </w:pPr>
      <w:r>
        <w:rPr>
          <w:i/>
          <w:color w:val="808080"/>
          <w:sz w:val="18"/>
        </w:rPr>
        <w:t>Figure 2: Greeks Sensitivity</w:t>
      </w:r>
    </w:p>
    <w:p/>
    <w:sectPr w:rsidR="00FC693F" w:rsidRPr="0006063C" w:rsidSect="00034616">
      <w:footerReference w:type="default" r:id="rId11"/>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