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300" w:lineRule="auto"/>
      </w:pPr>
      <w:r>
        <w:rPr>
          <w:rFonts w:ascii="Calibri" w:hAnsi="Calibri"/>
          <w:b/>
          <w:i w:val="0"/>
          <w:color w:val="0B2545"/>
          <w:sz w:val="46"/>
        </w:rPr>
        <w:t>TECHNICAL DOCUMENTATION &amp; CODE REVIEW</w:t>
      </w:r>
    </w:p>
    <w:p>
      <w:pPr>
        <w:keepNext w:val="0"/>
        <w:spacing w:before="0" w:after="320" w:line="300" w:lineRule="auto"/>
      </w:pPr>
      <w:r>
        <w:rPr>
          <w:rFonts w:ascii="Calibri" w:hAnsi="Calibri"/>
          <w:b w:val="0"/>
          <w:i w:val="0"/>
          <w:color w:val="5B6573"/>
          <w:sz w:val="28"/>
        </w:rPr>
        <w:t>HEMS Random &amp; Everywhere Mission — Release 0.997 92</w:t>
      </w:r>
    </w:p>
    <w:p>
      <w:pPr>
        <w:spacing w:before="0" w:after="40" w:line="240" w:lineRule="auto"/>
      </w:pPr>
      <w:r>
        <w:rPr>
          <w:rFonts w:ascii="Calibri" w:hAnsi="Calibri"/>
          <w:b/>
          <w:color w:val="111111"/>
          <w:sz w:val="21"/>
        </w:rPr>
        <w:t xml:space="preserve">Prepared for: </w:t>
      </w:r>
      <w:r>
        <w:rPr>
          <w:rFonts w:ascii="Calibri" w:hAnsi="Calibri"/>
          <w:color w:val="111111"/>
          <w:sz w:val="21"/>
        </w:rPr>
        <w:t>Davierosoft / HEMS Random &amp; Everywhere maintainers</w:t>
      </w:r>
    </w:p>
    <w:p>
      <w:pPr>
        <w:spacing w:before="0" w:after="40" w:line="240" w:lineRule="auto"/>
      </w:pPr>
      <w:r>
        <w:rPr>
          <w:rFonts w:ascii="Calibri" w:hAnsi="Calibri"/>
          <w:b/>
          <w:color w:val="111111"/>
          <w:sz w:val="21"/>
        </w:rPr>
        <w:t xml:space="preserve">Prepared by: </w:t>
      </w:r>
      <w:r>
        <w:rPr>
          <w:rFonts w:ascii="Calibri" w:hAnsi="Calibri"/>
          <w:color w:val="111111"/>
          <w:sz w:val="21"/>
        </w:rPr>
        <w:t>OpenAI Codex — static engineering review</w:t>
      </w:r>
    </w:p>
    <w:p>
      <w:pPr>
        <w:spacing w:before="0" w:after="40" w:line="240" w:lineRule="auto"/>
      </w:pPr>
      <w:r>
        <w:rPr>
          <w:rFonts w:ascii="Calibri" w:hAnsi="Calibri"/>
          <w:b/>
          <w:color w:val="111111"/>
          <w:sz w:val="21"/>
        </w:rPr>
        <w:t xml:space="preserve">Date: </w:t>
      </w:r>
      <w:r>
        <w:rPr>
          <w:rFonts w:ascii="Calibri" w:hAnsi="Calibri"/>
          <w:color w:val="111111"/>
          <w:sz w:val="21"/>
        </w:rPr>
        <w:t>31 August 2026</w:t>
      </w:r>
    </w:p>
    <w:p>
      <w:pPr>
        <w:spacing w:before="0" w:after="40" w:line="240" w:lineRule="auto"/>
      </w:pPr>
      <w:r>
        <w:rPr>
          <w:rFonts w:ascii="Calibri" w:hAnsi="Calibri"/>
          <w:b/>
          <w:color w:val="111111"/>
          <w:sz w:val="21"/>
        </w:rPr>
        <w:t xml:space="preserve">Scope: </w:t>
      </w:r>
      <w:r>
        <w:rPr>
          <w:rFonts w:ascii="Calibri" w:hAnsi="Calibri"/>
          <w:color w:val="111111"/>
          <w:sz w:val="21"/>
        </w:rPr>
        <w:t>everywhere_all.json, global.json, train.json, validator, release history and technical handoffs</w:t>
      </w:r>
    </w:p>
    <w:p>
      <w:pPr>
        <w:spacing w:before="0" w:after="40" w:line="240" w:lineRule="auto"/>
      </w:pPr>
      <w:r>
        <w:rPr>
          <w:rFonts w:ascii="Calibri" w:hAnsi="Calibri"/>
          <w:b/>
          <w:color w:val="111111"/>
          <w:sz w:val="21"/>
        </w:rPr>
        <w:t xml:space="preserve">Status: </w:t>
      </w:r>
      <w:r>
        <w:rPr>
          <w:rFonts w:ascii="Calibri" w:hAnsi="Calibri"/>
          <w:color w:val="111111"/>
          <w:sz w:val="21"/>
        </w:rPr>
        <w:t>Release candidate: static gate passed; MSFS/HPG runtime matrix still required</w:t>
      </w:r>
    </w:p>
    <w:p>
      <w:pPr>
        <w:pBdr>
          <w:bottom w:val="single" w:sz="16" w:space="6" w:color="1F4D78"/>
        </w:pBdr>
      </w:pPr>
    </w:p>
    <w:p>
      <w:pPr>
        <w:keepNext w:val="0"/>
        <w:spacing w:before="200" w:after="240" w:line="300" w:lineRule="auto"/>
      </w:pPr>
      <w:r>
        <w:rPr>
          <w:rFonts w:ascii="Calibri" w:hAnsi="Calibri"/>
          <w:b w:val="0"/>
          <w:i w:val="0"/>
          <w:color w:val="1F4D78"/>
          <w:sz w:val="22"/>
        </w:rPr>
        <w:t>This document consolidates the current system architecture, the recovered release evidence, a complete static review, the custom-mission example assessment, and a prioritized improvement roadmap. It is deliberately explicit about what the automated gate can and cannot prove.</w:t>
      </w:r>
    </w:p>
    <w:tbl>
      <w:tblPr>
        <w:tblStyle w:val="TableGrid"/>
        <w:tblW w:type="dxa" w:w="9360"/>
        <w:jc w:val="left"/>
        <w:tblLayout w:type="fixed"/>
        <w:tblLook w:firstColumn="1" w:firstRow="1" w:lastColumn="0" w:lastRow="0" w:noHBand="0" w:noVBand="1" w:val="04A0"/>
        <w:tblInd w:w="120" w:type="dxa"/>
      </w:tblPr>
      <w:tblGrid>
        <w:gridCol w:w="9360"/>
      </w:tblGrid>
      <w:tr>
        <w:trPr>
          <w:cantSplit/>
          <w:cantSplit/>
        </w:trPr>
        <w:tc>
          <w:tcPr>
            <w:tcW w:type="dxa" w:w="9360"/>
            <w:shd w:fill="E7F4E8"/>
            <w:tcMar>
              <w:top w:w="80" w:type="dxa"/>
              <w:bottom w:w="80" w:type="dxa"/>
              <w:start w:w="120" w:type="dxa"/>
              <w:end w:w="120" w:type="dxa"/>
            </w:tcMar>
            <w:vAlign w:val="center"/>
          </w:tcPr>
          <w:p>
            <w:pPr>
              <w:keepLines/>
              <w:spacing w:after="60"/>
            </w:pPr>
            <w:r>
              <w:rPr>
                <w:rFonts w:ascii="Calibri" w:hAnsi="Calibri"/>
                <w:b/>
                <w:color w:val="176A3A"/>
                <w:sz w:val="22"/>
              </w:rPr>
              <w:t>Release decision</w:t>
              <w:br/>
            </w:r>
            <w:r>
              <w:rPr>
                <w:rFonts w:ascii="Calibri" w:hAnsi="Calibri"/>
                <w:color w:val="111111"/>
                <w:sz w:val="20"/>
              </w:rPr>
              <w:t>No blocking structural error remains in the checked source. One real malformed command—create_lùocation in the random-fishing branch—was found, corrected, and converted into a permanent validator rule. Publication is technically ready after the prescribed in-simulator smoke and regression matrix.</w:t>
            </w:r>
          </w:p>
        </w:tc>
      </w:tr>
    </w:tbl>
    <w:p>
      <w:pPr>
        <w:spacing w:after="40"/>
      </w:pPr>
    </w:p>
    <w:p>
      <w:r>
        <w:br w:type="page"/>
      </w:r>
    </w:p>
    <w:p>
      <w:pPr>
        <w:pStyle w:val="Heading1"/>
      </w:pPr>
      <w:r>
        <w:t>Executive summary</w:t>
      </w:r>
    </w:p>
    <w:p>
      <w:pPr>
        <w:keepNext w:val="0"/>
        <w:spacing w:before="0" w:after="120" w:line="300" w:lineRule="auto"/>
      </w:pPr>
      <w:r>
        <w:rPr>
          <w:rFonts w:ascii="Calibri" w:hAnsi="Calibri"/>
          <w:b w:val="0"/>
          <w:i w:val="0"/>
          <w:color w:val="111111"/>
          <w:sz w:val="22"/>
        </w:rPr>
        <w:t>The current mission is a feature-rich HPG/MSFS orchestration program rather than a simple scenario file. It now contains 586 macros, 256,603 parsed JSON nodes, 6,849 executable conditions, 2,201 renderer conditions, 803 thread creations, and 2,169 waits. The new release gate passes all implemented checks, including the companion train.json loader.</w:t>
      </w:r>
    </w:p>
    <w:p>
      <w:pPr>
        <w:spacing w:after="80" w:line="300" w:lineRule="auto"/>
        <w:numPr>
          <w:ilvl w:val="0"/>
          <w:numId w:val="10"/>
        </w:numPr>
      </w:pPr>
      <w:r>
        <w:rPr>
          <w:rFonts w:ascii="Calibri" w:hAnsi="Calibri"/>
          <w:color w:val="111111"/>
          <w:sz w:val="22"/>
        </w:rPr>
        <w:t>The primary JSON parses; every static macro call resolves; icon references, CARLS layouts, checklist widths, preset state transitions, medical ownership, ambulance independence, Debug Center sections and snapshot persistence pass their release assertions.</w:t>
      </w:r>
    </w:p>
    <w:p>
      <w:pPr>
        <w:spacing w:after="80" w:line="300" w:lineRule="auto"/>
        <w:numPr>
          <w:ilvl w:val="0"/>
          <w:numId w:val="10"/>
        </w:numPr>
      </w:pPr>
      <w:r>
        <w:rPr>
          <w:rFonts w:ascii="Calibri" w:hAnsi="Calibri"/>
          <w:color w:val="111111"/>
          <w:sz w:val="22"/>
        </w:rPr>
        <w:t>Release 92 restructures Debug into six thematic views—Summary, Mission, Medical, Ground, Guidance and Inventory—and persists one explicit diagnostic snapshot through an HPG table.</w:t>
      </w:r>
    </w:p>
    <w:p>
      <w:pPr>
        <w:spacing w:after="80" w:line="300" w:lineRule="auto"/>
        <w:numPr>
          <w:ilvl w:val="0"/>
          <w:numId w:val="10"/>
        </w:numPr>
      </w:pPr>
      <w:r>
        <w:rPr>
          <w:rFonts w:ascii="Calibri" w:hAnsi="Calibri"/>
          <w:color w:val="111111"/>
          <w:sz w:val="22"/>
        </w:rPr>
        <w:t>The review found and fixed a malformed create_location command spelling in a low-frequency fishing-scene branch. This explains why repeated narrower audits could pass while the defect remained dormant.</w:t>
      </w:r>
    </w:p>
    <w:p>
      <w:pPr>
        <w:spacing w:after="80" w:line="300" w:lineRule="auto"/>
        <w:numPr>
          <w:ilvl w:val="0"/>
          <w:numId w:val="10"/>
        </w:numPr>
      </w:pPr>
      <w:r>
        <w:rPr>
          <w:rFonts w:ascii="Calibri" w:hAnsi="Calibri"/>
          <w:color w:val="111111"/>
          <w:sz w:val="22"/>
        </w:rPr>
        <w:t>The dominant residual risk is architectural: a large shared state namespace, hundreds of concurrent/long-lived threads, and several very large macros make behavioral interactions difficult to prove statically.</w:t>
      </w:r>
    </w:p>
    <w:p>
      <w:pPr>
        <w:spacing w:after="80" w:line="300" w:lineRule="auto"/>
        <w:numPr>
          <w:ilvl w:val="0"/>
          <w:numId w:val="10"/>
        </w:numPr>
      </w:pPr>
      <w:r>
        <w:rPr>
          <w:rFonts w:ascii="Calibri" w:hAnsi="Calibri"/>
          <w:color w:val="111111"/>
          <w:sz w:val="22"/>
        </w:rPr>
        <w:t>The multi-patient work is materially improved for patients 1–3, but the five/six-patient target still needs a true registry, atomic resource reservation and one CPR lease instead of further copy expansion.</w:t>
      </w:r>
    </w:p>
    <w:p>
      <w:pPr>
        <w:spacing w:after="80" w:line="300" w:lineRule="auto"/>
        <w:numPr>
          <w:ilvl w:val="0"/>
          <w:numId w:val="10"/>
        </w:numPr>
      </w:pPr>
      <w:r>
        <w:rPr>
          <w:rFonts w:ascii="Calibri" w:hAnsi="Calibri"/>
          <w:color w:val="111111"/>
          <w:sz w:val="22"/>
        </w:rPr>
        <w:t>train.json is syntactically valid and uses the correct load_mission handoff concept, but its version gate, duplicated 67-record accident catalog, derived-global writes, input validation and template identity are stale or fragile.</w:t>
      </w:r>
    </w:p>
    <w:p>
      <w:pPr>
        <w:keepNext w:val="0"/>
        <w:spacing w:before="0" w:after="240" w:line="300" w:lineRule="auto"/>
      </w:pPr>
      <w:r>
        <w:rPr>
          <w:rFonts w:ascii="Calibri" w:hAnsi="Calibri"/>
          <w:b/>
          <w:i w:val="0"/>
          <w:color w:val="9B1C1C"/>
          <w:sz w:val="22"/>
        </w:rPr>
        <w:t>Static conclusion: PASS. Runtime conclusion: NOT EXECUTED IN THIS WORKSPACE.</w:t>
      </w:r>
    </w:p>
    <w:p>
      <w:r>
        <w:br w:type="page"/>
      </w:r>
    </w:p>
    <w:p>
      <w:pPr>
        <w:pStyle w:val="Heading1"/>
      </w:pPr>
      <w:r>
        <w:t>Contents</w:t>
      </w:r>
    </w:p>
    <w:p>
      <w:pPr>
        <w:spacing w:after="80" w:line="300" w:lineRule="auto"/>
        <w:numPr>
          <w:ilvl w:val="0"/>
          <w:numId w:val="10"/>
        </w:numPr>
      </w:pPr>
      <w:r>
        <w:rPr>
          <w:rFonts w:ascii="Calibri" w:hAnsi="Calibri"/>
          <w:color w:val="111111"/>
          <w:sz w:val="22"/>
        </w:rPr>
        <w:t>Review scope, evidence and limitations</w:t>
      </w:r>
    </w:p>
    <w:p>
      <w:pPr>
        <w:spacing w:after="80" w:line="300" w:lineRule="auto"/>
        <w:numPr>
          <w:ilvl w:val="0"/>
          <w:numId w:val="10"/>
        </w:numPr>
      </w:pPr>
      <w:r>
        <w:rPr>
          <w:rFonts w:ascii="Calibri" w:hAnsi="Calibri"/>
          <w:color w:val="111111"/>
          <w:sz w:val="22"/>
        </w:rPr>
        <w:t>Current architecture and execution model</w:t>
      </w:r>
    </w:p>
    <w:p>
      <w:pPr>
        <w:spacing w:after="80" w:line="300" w:lineRule="auto"/>
        <w:numPr>
          <w:ilvl w:val="0"/>
          <w:numId w:val="10"/>
        </w:numPr>
      </w:pPr>
      <w:r>
        <w:rPr>
          <w:rFonts w:ascii="Calibri" w:hAnsi="Calibri"/>
          <w:color w:val="111111"/>
          <w:sz w:val="22"/>
        </w:rPr>
        <w:t>Evolution from the archived 0.997 baseline</w:t>
      </w:r>
    </w:p>
    <w:p>
      <w:pPr>
        <w:spacing w:after="80" w:line="300" w:lineRule="auto"/>
        <w:numPr>
          <w:ilvl w:val="0"/>
          <w:numId w:val="10"/>
        </w:numPr>
      </w:pPr>
      <w:r>
        <w:rPr>
          <w:rFonts w:ascii="Calibri" w:hAnsi="Calibri"/>
          <w:color w:val="111111"/>
          <w:sz w:val="22"/>
        </w:rPr>
        <w:t>Release 92 changes and validation evidence</w:t>
      </w:r>
    </w:p>
    <w:p>
      <w:pPr>
        <w:spacing w:after="80" w:line="300" w:lineRule="auto"/>
        <w:numPr>
          <w:ilvl w:val="0"/>
          <w:numId w:val="10"/>
        </w:numPr>
      </w:pPr>
      <w:r>
        <w:rPr>
          <w:rFonts w:ascii="Calibri" w:hAnsi="Calibri"/>
          <w:color w:val="111111"/>
          <w:sz w:val="22"/>
        </w:rPr>
        <w:t>Code-review findings and technical debt</w:t>
      </w:r>
    </w:p>
    <w:p>
      <w:pPr>
        <w:spacing w:after="80" w:line="300" w:lineRule="auto"/>
        <w:numPr>
          <w:ilvl w:val="0"/>
          <w:numId w:val="10"/>
        </w:numPr>
      </w:pPr>
      <w:r>
        <w:rPr>
          <w:rFonts w:ascii="Calibri" w:hAnsi="Calibri"/>
          <w:color w:val="111111"/>
          <w:sz w:val="22"/>
        </w:rPr>
        <w:t>train.json custom-mission review</w:t>
      </w:r>
    </w:p>
    <w:p>
      <w:pPr>
        <w:spacing w:after="80" w:line="300" w:lineRule="auto"/>
        <w:numPr>
          <w:ilvl w:val="0"/>
          <w:numId w:val="10"/>
        </w:numPr>
      </w:pPr>
      <w:r>
        <w:rPr>
          <w:rFonts w:ascii="Calibri" w:hAnsi="Calibri"/>
          <w:color w:val="111111"/>
          <w:sz w:val="22"/>
        </w:rPr>
        <w:t>Simulation and operational improvement opportunities</w:t>
      </w:r>
    </w:p>
    <w:p>
      <w:pPr>
        <w:spacing w:after="80" w:line="300" w:lineRule="auto"/>
        <w:numPr>
          <w:ilvl w:val="0"/>
          <w:numId w:val="10"/>
        </w:numPr>
      </w:pPr>
      <w:r>
        <w:rPr>
          <w:rFonts w:ascii="Calibri" w:hAnsi="Calibri"/>
          <w:color w:val="111111"/>
          <w:sz w:val="22"/>
        </w:rPr>
        <w:t>Test strategy and release engineering</w:t>
      </w:r>
    </w:p>
    <w:p>
      <w:pPr>
        <w:spacing w:after="80" w:line="300" w:lineRule="auto"/>
        <w:numPr>
          <w:ilvl w:val="0"/>
          <w:numId w:val="10"/>
        </w:numPr>
      </w:pPr>
      <w:r>
        <w:rPr>
          <w:rFonts w:ascii="Calibri" w:hAnsi="Calibri"/>
          <w:color w:val="111111"/>
          <w:sz w:val="22"/>
        </w:rPr>
        <w:t>Prioritized roadmap</w:t>
      </w:r>
    </w:p>
    <w:p>
      <w:pPr>
        <w:spacing w:after="80" w:line="300" w:lineRule="auto"/>
        <w:numPr>
          <w:ilvl w:val="0"/>
          <w:numId w:val="10"/>
        </w:numPr>
      </w:pPr>
      <w:r>
        <w:rPr>
          <w:rFonts w:ascii="Calibri" w:hAnsi="Calibri"/>
          <w:color w:val="111111"/>
          <w:sz w:val="22"/>
        </w:rPr>
        <w:t>Appendices: metrics, runtime matrix and references</w:t>
      </w:r>
    </w:p>
    <w:p>
      <w:r>
        <w:br w:type="page"/>
      </w:r>
    </w:p>
    <w:p>
      <w:pPr>
        <w:pStyle w:val="Heading1"/>
      </w:pPr>
      <w:r>
        <w:t>Review scope, evidence and limitations</w:t>
      </w:r>
    </w:p>
    <w:p>
      <w:pPr>
        <w:pStyle w:val="Heading2"/>
      </w:pPr>
      <w:r>
        <w:t>Evidence reviewed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cantSplit/>
        </w:trPr>
        <w:tc>
          <w:tcPr>
            <w:tcW w:type="dxa" w:w="23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Artifact</w:t>
            </w:r>
          </w:p>
        </w:tc>
        <w:tc>
          <w:tcPr>
            <w:tcW w:type="dxa" w:w="706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Role in review</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everywhere_all.json</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Primary HPG mission source; full parse, traversal, metrics, cross-reference and release regression gate.</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global.json</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Persistent defaults parsed by the release validator.</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train.json</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External custom-mission loader and editable example; independent structural checks and contract review.</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tools/validate-mission.js</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Blocking structural and regression gate; extended in release 92 for command spelling and train.json.</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HANDOFF_CHATGPT_SOL.md</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Release-by-release contracts, known regressions, decisions and runtime test obligations.</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HANDOFF_SOL_MULTI_PATIENT_ARCHITECTURE.md</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Target five-patient registry and allocation architecture.</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DEVELOPMENT_RELEASE_CHECKLIST.md</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Required HPG syntax, persistence, UI, medical, transport and preset checks.</w:t>
            </w:r>
          </w:p>
        </w:tc>
      </w:tr>
      <w:tr>
        <w:trPr>
          <w:cantSplit/>
          <w:cantSplit/>
        </w:trPr>
        <w:tc>
          <w:tcPr>
            <w:tcW w:type="dxa" w:w="2300"/>
            <w:tcMar>
              <w:top w:w="80" w:type="dxa"/>
              <w:bottom w:w="80" w:type="dxa"/>
              <w:start w:w="120" w:type="dxa"/>
              <w:end w:w="120" w:type="dxa"/>
            </w:tcMar>
            <w:vAlign w:val="center"/>
          </w:tcPr>
          <w:p>
            <w:pPr>
              <w:keepLines/>
              <w:spacing w:after="0" w:line="259" w:lineRule="auto"/>
            </w:pPr>
            <w:r>
              <w:rPr>
                <w:rFonts w:ascii="Calibri" w:hAnsi="Calibri"/>
                <w:color w:val="111111"/>
                <w:sz w:val="18"/>
              </w:rPr>
              <w:t>Git history</w:t>
            </w:r>
          </w:p>
        </w:tc>
        <w:tc>
          <w:tcPr>
            <w:tcW w:type="dxa" w:w="7060"/>
            <w:tcMar>
              <w:top w:w="80" w:type="dxa"/>
              <w:bottom w:w="80" w:type="dxa"/>
              <w:start w:w="120" w:type="dxa"/>
              <w:end w:w="120" w:type="dxa"/>
            </w:tcMar>
            <w:vAlign w:val="center"/>
          </w:tcPr>
          <w:p>
            <w:pPr>
              <w:keepLines/>
              <w:spacing w:after="0" w:line="259" w:lineRule="auto"/>
            </w:pPr>
            <w:r>
              <w:rPr>
                <w:rFonts w:ascii="Calibri" w:hAnsi="Calibri"/>
                <w:color w:val="111111"/>
                <w:sz w:val="18"/>
              </w:rPr>
              <w:t>Imported baseline, releases 66–91 and regression repair sequence.</w:t>
            </w:r>
          </w:p>
        </w:tc>
      </w:tr>
    </w:tbl>
    <w:p>
      <w:pPr>
        <w:spacing w:after="40"/>
      </w:pPr>
    </w:p>
    <w:p>
      <w:pPr>
        <w:pStyle w:val="Heading2"/>
      </w:pPr>
      <w:r>
        <w:t>Method</w:t>
      </w:r>
    </w:p>
    <w:p>
      <w:pPr>
        <w:spacing w:after="80" w:line="300" w:lineRule="auto"/>
        <w:numPr>
          <w:ilvl w:val="0"/>
          <w:numId w:val="12"/>
        </w:numPr>
      </w:pPr>
      <w:r>
        <w:rPr>
          <w:rFonts w:ascii="Calibri" w:hAnsi="Calibri"/>
          <w:color w:val="111111"/>
          <w:sz w:val="22"/>
        </w:rPr>
        <w:t>Parse all JSON artifacts and walk every object/array node.</w:t>
      </w:r>
    </w:p>
    <w:p>
      <w:pPr>
        <w:spacing w:after="80" w:line="300" w:lineRule="auto"/>
        <w:numPr>
          <w:ilvl w:val="0"/>
          <w:numId w:val="12"/>
        </w:numPr>
      </w:pPr>
      <w:r>
        <w:rPr>
          <w:rFonts w:ascii="Calibri" w:hAnsi="Calibri"/>
          <w:color w:val="111111"/>
          <w:sz w:val="22"/>
        </w:rPr>
        <w:t>Validate executable if/wait_for/while operators, renderer roots, nested logical groups and require leaves.</w:t>
      </w:r>
    </w:p>
    <w:p>
      <w:pPr>
        <w:spacing w:after="80" w:line="300" w:lineRule="auto"/>
        <w:numPr>
          <w:ilvl w:val="0"/>
          <w:numId w:val="12"/>
        </w:numPr>
      </w:pPr>
      <w:r>
        <w:rPr>
          <w:rFonts w:ascii="Calibri" w:hAnsi="Calibri"/>
          <w:color w:val="111111"/>
          <w:sz w:val="22"/>
        </w:rPr>
        <w:t>Resolve static macro calls, dynamic prefixes, icon/image references, CARLS SK layouts and fixed-width checklist rows.</w:t>
      </w:r>
    </w:p>
    <w:p>
      <w:pPr>
        <w:spacing w:after="80" w:line="300" w:lineRule="auto"/>
        <w:numPr>
          <w:ilvl w:val="0"/>
          <w:numId w:val="12"/>
        </w:numPr>
      </w:pPr>
      <w:r>
        <w:rPr>
          <w:rFonts w:ascii="Calibri" w:hAnsi="Calibri"/>
          <w:color w:val="111111"/>
          <w:sz w:val="22"/>
        </w:rPr>
        <w:t>Check release-specific invariants for medical ownership, ambulance independence, preset persistence and Debug Center coverage.</w:t>
      </w:r>
    </w:p>
    <w:p>
      <w:pPr>
        <w:spacing w:after="80" w:line="300" w:lineRule="auto"/>
        <w:numPr>
          <w:ilvl w:val="0"/>
          <w:numId w:val="12"/>
        </w:numPr>
      </w:pPr>
      <w:r>
        <w:rPr>
          <w:rFonts w:ascii="Calibri" w:hAnsi="Calibri"/>
          <w:color w:val="111111"/>
          <w:sz w:val="22"/>
        </w:rPr>
        <w:t>Measure complexity, state footprint, thread/wait density, error containment, macro hotspots and baseline growth.</w:t>
      </w:r>
    </w:p>
    <w:p>
      <w:pPr>
        <w:spacing w:after="80" w:line="300" w:lineRule="auto"/>
        <w:numPr>
          <w:ilvl w:val="0"/>
          <w:numId w:val="12"/>
        </w:numPr>
      </w:pPr>
      <w:r>
        <w:rPr>
          <w:rFonts w:ascii="Calibri" w:hAnsi="Calibri"/>
          <w:color w:val="111111"/>
          <w:sz w:val="22"/>
        </w:rPr>
        <w:t>Review train.json against the current L:CUS_* handoff contract and HPG mission-loading semantics.</w:t>
      </w:r>
    </w:p>
    <w:p>
      <w:pPr>
        <w:pStyle w:val="Heading2"/>
      </w:pPr>
      <w:r>
        <w:t>Limitations</w:t>
      </w:r>
    </w:p>
    <w:tbl>
      <w:tblPr>
        <w:tblStyle w:val="TableGrid"/>
        <w:tblW w:type="dxa" w:w="9360"/>
        <w:jc w:val="left"/>
        <w:tblLayout w:type="fixed"/>
        <w:tblLook w:firstColumn="1" w:firstRow="1" w:lastColumn="0" w:lastRow="0" w:noHBand="0" w:noVBand="1" w:val="04A0"/>
        <w:tblInd w:w="120" w:type="dxa"/>
      </w:tblPr>
      <w:tblGrid>
        <w:gridCol w:w="9360"/>
      </w:tblGrid>
      <w:tr>
        <w:trPr>
          <w:cantSplit/>
          <w:cantSplit/>
        </w:trPr>
        <w:tc>
          <w:tcPr>
            <w:tcW w:type="dxa" w:w="9360"/>
            <w:shd w:fill="FFF4D6"/>
            <w:tcMar>
              <w:top w:w="80" w:type="dxa"/>
              <w:bottom w:w="80" w:type="dxa"/>
              <w:start w:w="120" w:type="dxa"/>
              <w:end w:w="120" w:type="dxa"/>
            </w:tcMar>
            <w:vAlign w:val="center"/>
          </w:tcPr>
          <w:p>
            <w:pPr>
              <w:keepLines/>
              <w:spacing w:after="60"/>
            </w:pPr>
            <w:r>
              <w:rPr>
                <w:rFonts w:ascii="Calibri" w:hAnsi="Calibri"/>
                <w:b/>
                <w:color w:val="7A5A00"/>
                <w:sz w:val="22"/>
              </w:rPr>
              <w:t>Important boundary</w:t>
              <w:br/>
            </w:r>
            <w:r>
              <w:rPr>
                <w:rFonts w:ascii="Calibri" w:hAnsi="Calibri"/>
                <w:color w:val="111111"/>
                <w:sz w:val="20"/>
              </w:rPr>
              <w:t>Static analysis does not execute HPG commands, instantiate SimObjects, evaluate live LVARs, query OSM, drive routes, render the H145 tablet, play audio, or reproduce timing races. A PASS means the checked source satisfies the encoded structural contracts; it is not proof that every mission branch works in MSFS.</w:t>
            </w:r>
          </w:p>
        </w:tc>
      </w:tr>
    </w:tbl>
    <w:p>
      <w:pPr>
        <w:spacing w:after="40"/>
      </w:pPr>
    </w:p>
    <w:p>
      <w:pPr>
        <w:spacing w:after="80" w:line="300" w:lineRule="auto"/>
        <w:numPr>
          <w:ilvl w:val="0"/>
          <w:numId w:val="10"/>
        </w:numPr>
      </w:pPr>
      <w:r>
        <w:rPr>
          <w:rFonts w:ascii="Calibri" w:hAnsi="Calibri"/>
          <w:color w:val="111111"/>
          <w:sz w:val="22"/>
        </w:rPr>
        <w:t>Dynamic create_struct renderer payloads are intentionally reviewed by contract and targeted assertions; four raw paths look invalid to a naïve root checker because they are templates, not emitted conditions.</w:t>
      </w:r>
    </w:p>
    <w:p>
      <w:pPr>
        <w:spacing w:after="80" w:line="300" w:lineRule="auto"/>
        <w:numPr>
          <w:ilvl w:val="0"/>
          <w:numId w:val="10"/>
        </w:numPr>
      </w:pPr>
      <w:r>
        <w:rPr>
          <w:rFonts w:ascii="Calibri" w:hAnsi="Calibri"/>
          <w:color w:val="111111"/>
          <w:sz w:val="22"/>
        </w:rPr>
        <w:t>Object-name mutual exclusion and thread scheduling are runtime properties. HPG requires unique create_object names, so static call counts alone cannot prove safe reuse.</w:t>
      </w:r>
    </w:p>
    <w:p>
      <w:pPr>
        <w:spacing w:after="80" w:line="300" w:lineRule="auto"/>
        <w:numPr>
          <w:ilvl w:val="0"/>
          <w:numId w:val="10"/>
        </w:numPr>
      </w:pPr>
      <w:r>
        <w:rPr>
          <w:rFonts w:ascii="Calibri" w:hAnsi="Calibri"/>
          <w:color w:val="111111"/>
          <w:sz w:val="22"/>
        </w:rPr>
        <w:t>No dedicated historical Word code-review artifact exists in the Git object history. The technical handoff, multi-patient architecture handoff, release checklist and changelogs were therefore treated as the recovered prior review record.</w:t>
      </w:r>
    </w:p>
    <w:p>
      <w:pPr>
        <w:pStyle w:val="Heading1"/>
      </w:pPr>
      <w:r>
        <w:t>Current architecture and execution model</w:t>
      </w:r>
    </w:p>
    <w:p>
      <w:pPr>
        <w:pStyle w:val="Heading2"/>
      </w:pPr>
      <w:r>
        <w:t>System decomposition</w:t>
      </w:r>
    </w:p>
    <w:tbl>
      <w:tblPr>
        <w:tblStyle w:val="TableGrid"/>
        <w:tblW w:type="dxa" w:w="9360"/>
        <w:jc w:val="left"/>
        <w:tblLayout w:type="fixed"/>
        <w:tblLook w:firstColumn="1" w:firstRow="1" w:lastColumn="0" w:lastRow="0" w:noHBand="0" w:noVBand="1" w:val="04A0"/>
        <w:tblInd w:w="120" w:type="dxa"/>
      </w:tblPr>
      <w:tblGrid>
        <w:gridCol w:w="1650"/>
        <w:gridCol w:w="4300"/>
        <w:gridCol w:w="3410"/>
      </w:tblGrid>
      <w:tr>
        <w:trPr>
          <w:tblHeader w:val="true"/>
          <w:cantSplit/>
          <w:cantSplit/>
        </w:trPr>
        <w:tc>
          <w:tcPr>
            <w:tcW w:type="dxa" w:w="16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Subsystem</w:t>
            </w:r>
          </w:p>
        </w:tc>
        <w:tc>
          <w:tcPr>
            <w:tcW w:type="dxa" w:w="43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Current implementation</w:t>
            </w:r>
          </w:p>
        </w:tc>
        <w:tc>
          <w:tcPr>
            <w:tcW w:type="dxa" w:w="341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Primary risk boundary</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Mission selection</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68 accident records, random eligibility, saved preset tables and custom L:CUS_* loader path.</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Preset/table state and external loader compatibility.</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Scene generation</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OSM/database queries, locations, 538 create_object commands, crowd/casualty selection and VFX.</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Async creation, unique names, missing assets and query fallback.</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Flight operations</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Crew boarding, marshal/pisteur guidance, checklists, hoist/skid/ground routes and RTB.</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Long-lived threads, crew-count branches and simulator timing.</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Medical</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Pathology profiles, vital trends, GCS, manual/automatic treatment, P1–P3 display adapters and handover reports.</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Shared state, patient ownership, CPR and transfer boundaries.</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Ground services</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Ambulance/police/fire routes, assessment, transport and hospital arrival flows.</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Independent ownership after whobringpatient selection.</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Avionics/UI</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Tablet pages, RescueTrack messages, CARLS/DF, 5G/Wi-Fi and settings.</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Renderer shape, persistent labels and small-screen limits.</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Diagnostics</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Six-view Debug Center, complete inventories, issue summary and persistent snapshot table.</w:t>
            </w:r>
          </w:p>
        </w:tc>
        <w:tc>
          <w:tcPr>
            <w:tcW w:type="dxa" w:w="3410"/>
            <w:tcMar>
              <w:top w:w="80" w:type="dxa"/>
              <w:bottom w:w="80" w:type="dxa"/>
              <w:start w:w="120" w:type="dxa"/>
              <w:end w:w="120" w:type="dxa"/>
            </w:tcMar>
            <w:vAlign w:val="center"/>
          </w:tcPr>
          <w:p>
            <w:pPr>
              <w:keepLines/>
              <w:spacing w:after="0" w:line="259" w:lineRule="auto"/>
            </w:pPr>
            <w:r>
              <w:rPr>
                <w:rFonts w:ascii="Calibri" w:hAnsi="Calibri"/>
                <w:color w:val="111111"/>
                <w:sz w:val="17"/>
              </w:rPr>
              <w:t>Single snapshot slot and manual capture.</w:t>
            </w:r>
          </w:p>
        </w:tc>
      </w:tr>
    </w:tbl>
    <w:p>
      <w:pPr>
        <w:spacing w:after="40"/>
      </w:pPr>
    </w:p>
    <w:p>
      <w:pPr>
        <w:pStyle w:val="Heading2"/>
      </w:pPr>
      <w:r>
        <w:t>Execution flow</w:t>
      </w:r>
    </w:p>
    <w:p>
      <w:pPr>
        <w:spacing w:after="80" w:line="300" w:lineRule="auto"/>
        <w:numPr>
          <w:ilvl w:val="0"/>
          <w:numId w:val="13"/>
        </w:numPr>
      </w:pPr>
      <w:r>
        <w:rPr>
          <w:rFonts w:ascii="Calibri" w:hAnsi="Calibri"/>
          <w:color w:val="111111"/>
          <w:sz w:val="22"/>
        </w:rPr>
        <w:t>Initialize aircraft/package state, persistent options, dispatch sources and mission selection tables.</w:t>
      </w:r>
    </w:p>
    <w:p>
      <w:pPr>
        <w:spacing w:after="80" w:line="300" w:lineRule="auto"/>
        <w:numPr>
          <w:ilvl w:val="0"/>
          <w:numId w:val="13"/>
        </w:numPr>
      </w:pPr>
      <w:r>
        <w:rPr>
          <w:rFonts w:ascii="Calibri" w:hAnsi="Calibri"/>
          <w:color w:val="111111"/>
          <w:sz w:val="22"/>
        </w:rPr>
        <w:t>Generate or load a dispatch, resolve the mission profile, locations and compatible scene assets.</w:t>
      </w:r>
    </w:p>
    <w:p>
      <w:pPr>
        <w:spacing w:after="80" w:line="300" w:lineRule="auto"/>
        <w:numPr>
          <w:ilvl w:val="0"/>
          <w:numId w:val="13"/>
        </w:numPr>
      </w:pPr>
      <w:r>
        <w:rPr>
          <w:rFonts w:ascii="Calibri" w:hAnsi="Calibri"/>
          <w:color w:val="111111"/>
          <w:sz w:val="22"/>
        </w:rPr>
        <w:t>Run preflight/crew procedures and fly to the scene with optional DF/marshal guidance.</w:t>
      </w:r>
    </w:p>
    <w:p>
      <w:pPr>
        <w:spacing w:after="80" w:line="300" w:lineRule="auto"/>
        <w:numPr>
          <w:ilvl w:val="0"/>
          <w:numId w:val="13"/>
        </w:numPr>
      </w:pPr>
      <w:r>
        <w:rPr>
          <w:rFonts w:ascii="Calibri" w:hAnsi="Calibri"/>
          <w:color w:val="111111"/>
          <w:sz w:val="22"/>
        </w:rPr>
        <w:t>Establish scene ownership: HEMS and ground units assess patients; manual mode exposes actions only to the active patient.</w:t>
      </w:r>
    </w:p>
    <w:p>
      <w:pPr>
        <w:spacing w:after="80" w:line="300" w:lineRule="auto"/>
        <w:numPr>
          <w:ilvl w:val="0"/>
          <w:numId w:val="13"/>
        </w:numPr>
      </w:pPr>
      <w:r>
        <w:rPr>
          <w:rFonts w:ascii="Calibri" w:hAnsi="Calibri"/>
          <w:color w:val="111111"/>
          <w:sz w:val="22"/>
        </w:rPr>
        <w:t>Select transport ownership. Once ambulance is selected, its stretcher and hospital procedure is independent from the helicopter; ambudoc waits only for the travelling doctor; us retains HEMS stretcher synchronization.</w:t>
      </w:r>
    </w:p>
    <w:p>
      <w:pPr>
        <w:spacing w:after="80" w:line="300" w:lineRule="auto"/>
        <w:numPr>
          <w:ilvl w:val="0"/>
          <w:numId w:val="13"/>
        </w:numPr>
      </w:pPr>
      <w:r>
        <w:rPr>
          <w:rFonts w:ascii="Calibri" w:hAnsi="Calibri"/>
          <w:color w:val="111111"/>
          <w:sz w:val="22"/>
        </w:rPr>
        <w:t>Complete destination, return-to-base, deboarding/end-shift and optional second-dispatch flow.</w:t>
      </w:r>
    </w:p>
    <w:p>
      <w:pPr>
        <w:pStyle w:val="Heading2"/>
      </w:pPr>
      <w:r>
        <w:t>State and persistence model</w:t>
      </w:r>
    </w:p>
    <w:tbl>
      <w:tblPr>
        <w:tblStyle w:val="TableGrid"/>
        <w:tblW w:type="dxa" w:w="9360"/>
        <w:jc w:val="left"/>
        <w:tblLayout w:type="fixed"/>
        <w:tblLook w:firstColumn="1" w:firstRow="1" w:lastColumn="0" w:lastRow="0" w:noHBand="0" w:noVBand="1" w:val="04A0"/>
        <w:tblInd w:w="120" w:type="dxa"/>
      </w:tblPr>
      <w:tblGrid>
        <w:gridCol w:w="1250"/>
        <w:gridCol w:w="3730"/>
        <w:gridCol w:w="4380"/>
      </w:tblGrid>
      <w:tr>
        <w:trPr>
          <w:tblHeader w:val="true"/>
          <w:cantSplit/>
          <w:cantSplit/>
        </w:trPr>
        <w:tc>
          <w:tcPr>
            <w:tcW w:type="dxa" w:w="12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State class</w:t>
            </w:r>
          </w:p>
        </w:tc>
        <w:tc>
          <w:tcPr>
            <w:tcW w:type="dxa" w:w="373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Use</w:t>
            </w:r>
          </w:p>
        </w:tc>
        <w:tc>
          <w:tcPr>
            <w:tcW w:type="dxa" w:w="438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Persistence rule</w:t>
            </w:r>
          </w:p>
        </w:tc>
      </w:tr>
      <w:tr>
        <w:trPr>
          <w:cantSplit/>
          <w:cantSplit/>
        </w:trPr>
        <w:tc>
          <w:tcPr>
            <w:tcW w:type="dxa" w:w="1250"/>
            <w:tcMar>
              <w:top w:w="80" w:type="dxa"/>
              <w:bottom w:w="80" w:type="dxa"/>
              <w:start w:w="120" w:type="dxa"/>
              <w:end w:w="120" w:type="dxa"/>
            </w:tcMar>
            <w:vAlign w:val="center"/>
          </w:tcPr>
          <w:p>
            <w:pPr>
              <w:keepLines/>
              <w:spacing w:after="0" w:line="259" w:lineRule="auto"/>
            </w:pPr>
            <w:r>
              <w:rPr>
                <w:rFonts w:ascii="Calibri" w:hAnsi="Calibri"/>
                <w:color w:val="111111"/>
                <w:sz w:val="18"/>
              </w:rPr>
              <w:t>local</w:t>
            </w:r>
          </w:p>
        </w:tc>
        <w:tc>
          <w:tcPr>
            <w:tcW w:type="dxa" w:w="3730"/>
            <w:tcMar>
              <w:top w:w="80" w:type="dxa"/>
              <w:bottom w:w="80" w:type="dxa"/>
              <w:start w:w="120" w:type="dxa"/>
              <w:end w:w="120" w:type="dxa"/>
            </w:tcMar>
            <w:vAlign w:val="center"/>
          </w:tcPr>
          <w:p>
            <w:pPr>
              <w:keepLines/>
              <w:spacing w:after="0" w:line="259" w:lineRule="auto"/>
            </w:pPr>
            <w:r>
              <w:rPr>
                <w:rFonts w:ascii="Calibri" w:hAnsi="Calibri"/>
                <w:color w:val="111111"/>
                <w:sz w:val="18"/>
              </w:rPr>
              <w:t>Mission/session state, locks, display adapters, timers and derived values.</w:t>
            </w:r>
          </w:p>
        </w:tc>
        <w:tc>
          <w:tcPr>
            <w:tcW w:type="dxa" w:w="4380"/>
            <w:tcMar>
              <w:top w:w="80" w:type="dxa"/>
              <w:bottom w:w="80" w:type="dxa"/>
              <w:start w:w="120" w:type="dxa"/>
              <w:end w:w="120" w:type="dxa"/>
            </w:tcMar>
            <w:vAlign w:val="center"/>
          </w:tcPr>
          <w:p>
            <w:pPr>
              <w:keepLines/>
              <w:spacing w:after="0" w:line="259" w:lineRule="auto"/>
            </w:pPr>
            <w:r>
              <w:rPr>
                <w:rFonts w:ascii="Calibri" w:hAnsi="Calibri"/>
                <w:color w:val="111111"/>
                <w:sz w:val="18"/>
              </w:rPr>
              <w:t>Survives load_mission/reload_mission according to HPG semantics, but must not be treated as durable user storage.</w:t>
            </w:r>
          </w:p>
        </w:tc>
      </w:tr>
      <w:tr>
        <w:trPr>
          <w:cantSplit/>
          <w:cantSplit/>
        </w:trPr>
        <w:tc>
          <w:tcPr>
            <w:tcW w:type="dxa" w:w="1250"/>
            <w:tcMar>
              <w:top w:w="80" w:type="dxa"/>
              <w:bottom w:w="80" w:type="dxa"/>
              <w:start w:w="120" w:type="dxa"/>
              <w:end w:w="120" w:type="dxa"/>
            </w:tcMar>
            <w:vAlign w:val="center"/>
          </w:tcPr>
          <w:p>
            <w:pPr>
              <w:keepLines/>
              <w:spacing w:after="0" w:line="259" w:lineRule="auto"/>
            </w:pPr>
            <w:r>
              <w:rPr>
                <w:rFonts w:ascii="Calibri" w:hAnsi="Calibri"/>
                <w:color w:val="111111"/>
                <w:sz w:val="18"/>
              </w:rPr>
              <w:t>global</w:t>
            </w:r>
          </w:p>
        </w:tc>
        <w:tc>
          <w:tcPr>
            <w:tcW w:type="dxa" w:w="3730"/>
            <w:tcMar>
              <w:top w:w="80" w:type="dxa"/>
              <w:bottom w:w="80" w:type="dxa"/>
              <w:start w:w="120" w:type="dxa"/>
              <w:end w:w="120" w:type="dxa"/>
            </w:tcMar>
            <w:vAlign w:val="center"/>
          </w:tcPr>
          <w:p>
            <w:pPr>
              <w:keepLines/>
              <w:spacing w:after="0" w:line="259" w:lineRule="auto"/>
            </w:pPr>
            <w:r>
              <w:rPr>
                <w:rFonts w:ascii="Calibri" w:hAnsi="Calibri"/>
                <w:color w:val="111111"/>
                <w:sz w:val="18"/>
              </w:rPr>
              <w:t>User settings, saved mission slots and cross-reload selections.</w:t>
            </w:r>
          </w:p>
        </w:tc>
        <w:tc>
          <w:tcPr>
            <w:tcW w:type="dxa" w:w="4380"/>
            <w:tcMar>
              <w:top w:w="80" w:type="dxa"/>
              <w:bottom w:w="80" w:type="dxa"/>
              <w:start w:w="120" w:type="dxa"/>
              <w:end w:w="120" w:type="dxa"/>
            </w:tcMar>
            <w:vAlign w:val="center"/>
          </w:tcPr>
          <w:p>
            <w:pPr>
              <w:keepLines/>
              <w:spacing w:after="0" w:line="259" w:lineRule="auto"/>
            </w:pPr>
            <w:r>
              <w:rPr>
                <w:rFonts w:ascii="Calibri" w:hAnsi="Calibri"/>
                <w:color w:val="111111"/>
                <w:sz w:val="18"/>
              </w:rPr>
              <w:t>Persistent; every displayed value needs a first-run default or normalization.</w:t>
            </w:r>
          </w:p>
        </w:tc>
      </w:tr>
      <w:tr>
        <w:trPr>
          <w:cantSplit/>
          <w:cantSplit/>
        </w:trPr>
        <w:tc>
          <w:tcPr>
            <w:tcW w:type="dxa" w:w="1250"/>
            <w:tcMar>
              <w:top w:w="80" w:type="dxa"/>
              <w:bottom w:w="80" w:type="dxa"/>
              <w:start w:w="120" w:type="dxa"/>
              <w:end w:w="120" w:type="dxa"/>
            </w:tcMar>
            <w:vAlign w:val="center"/>
          </w:tcPr>
          <w:p>
            <w:pPr>
              <w:keepLines/>
              <w:spacing w:after="0" w:line="259" w:lineRule="auto"/>
            </w:pPr>
            <w:r>
              <w:rPr>
                <w:rFonts w:ascii="Calibri" w:hAnsi="Calibri"/>
                <w:color w:val="111111"/>
                <w:sz w:val="18"/>
              </w:rPr>
              <w:t>LVAR</w:t>
            </w:r>
          </w:p>
        </w:tc>
        <w:tc>
          <w:tcPr>
            <w:tcW w:type="dxa" w:w="3730"/>
            <w:tcMar>
              <w:top w:w="80" w:type="dxa"/>
              <w:bottom w:w="80" w:type="dxa"/>
              <w:start w:w="120" w:type="dxa"/>
              <w:end w:w="120" w:type="dxa"/>
            </w:tcMar>
            <w:vAlign w:val="center"/>
          </w:tcPr>
          <w:p>
            <w:pPr>
              <w:keepLines/>
              <w:spacing w:after="0" w:line="259" w:lineRule="auto"/>
            </w:pPr>
            <w:r>
              <w:rPr>
                <w:rFonts w:ascii="Calibri" w:hAnsi="Calibri"/>
                <w:color w:val="111111"/>
                <w:sz w:val="18"/>
              </w:rPr>
              <w:t>MSFS/H145 controls, external integration and inter-mission handoff.</w:t>
            </w:r>
          </w:p>
        </w:tc>
        <w:tc>
          <w:tcPr>
            <w:tcW w:type="dxa" w:w="4380"/>
            <w:tcMar>
              <w:top w:w="80" w:type="dxa"/>
              <w:bottom w:w="80" w:type="dxa"/>
              <w:start w:w="120" w:type="dxa"/>
              <w:end w:w="120" w:type="dxa"/>
            </w:tcMar>
            <w:vAlign w:val="center"/>
          </w:tcPr>
          <w:p>
            <w:pPr>
              <w:keepLines/>
              <w:spacing w:after="0" w:line="259" w:lineRule="auto"/>
            </w:pPr>
            <w:r>
              <w:rPr>
                <w:rFonts w:ascii="Calibri" w:hAnsi="Calibri"/>
                <w:color w:val="111111"/>
                <w:sz w:val="18"/>
              </w:rPr>
              <w:t>May survive reload; used as the public L:CUS_* and aircraft contract.</w:t>
            </w:r>
          </w:p>
        </w:tc>
      </w:tr>
      <w:tr>
        <w:trPr>
          <w:cantSplit/>
          <w:cantSplit/>
        </w:trPr>
        <w:tc>
          <w:tcPr>
            <w:tcW w:type="dxa" w:w="1250"/>
            <w:tcMar>
              <w:top w:w="80" w:type="dxa"/>
              <w:bottom w:w="80" w:type="dxa"/>
              <w:start w:w="120" w:type="dxa"/>
              <w:end w:w="120" w:type="dxa"/>
            </w:tcMar>
            <w:vAlign w:val="center"/>
          </w:tcPr>
          <w:p>
            <w:pPr>
              <w:keepLines/>
              <w:spacing w:after="0" w:line="259" w:lineRule="auto"/>
            </w:pPr>
            <w:r>
              <w:rPr>
                <w:rFonts w:ascii="Calibri" w:hAnsi="Calibri"/>
                <w:color w:val="111111"/>
                <w:sz w:val="18"/>
              </w:rPr>
              <w:t>HPG table</w:t>
            </w:r>
          </w:p>
        </w:tc>
        <w:tc>
          <w:tcPr>
            <w:tcW w:type="dxa" w:w="3730"/>
            <w:tcMar>
              <w:top w:w="80" w:type="dxa"/>
              <w:bottom w:w="80" w:type="dxa"/>
              <w:start w:w="120" w:type="dxa"/>
              <w:end w:w="120" w:type="dxa"/>
            </w:tcMar>
            <w:vAlign w:val="center"/>
          </w:tcPr>
          <w:p>
            <w:pPr>
              <w:keepLines/>
              <w:spacing w:after="0" w:line="259" w:lineRule="auto"/>
            </w:pPr>
            <w:r>
              <w:rPr>
                <w:rFonts w:ascii="Calibri" w:hAnsi="Calibri"/>
                <w:color w:val="111111"/>
                <w:sz w:val="18"/>
              </w:rPr>
              <w:t>Mission presets and release-92 debug snapshot.</w:t>
            </w:r>
          </w:p>
        </w:tc>
        <w:tc>
          <w:tcPr>
            <w:tcW w:type="dxa" w:w="4380"/>
            <w:tcMar>
              <w:top w:w="80" w:type="dxa"/>
              <w:bottom w:w="80" w:type="dxa"/>
              <w:start w:w="120" w:type="dxa"/>
              <w:end w:w="120" w:type="dxa"/>
            </w:tcMar>
            <w:vAlign w:val="center"/>
          </w:tcPr>
          <w:p>
            <w:pPr>
              <w:keepLines/>
              <w:spacing w:after="0" w:line="259" w:lineRule="auto"/>
            </w:pPr>
            <w:r>
              <w:rPr>
                <w:rFonts w:ascii="Calibri" w:hAnsi="Calibri"/>
                <w:color w:val="111111"/>
                <w:sz w:val="18"/>
              </w:rPr>
              <w:t>Changes persist only after save_table; release logic minimizes writes and flushes on switch/exit.</w:t>
            </w:r>
          </w:p>
        </w:tc>
      </w:tr>
      <w:tr>
        <w:trPr>
          <w:cantSplit/>
          <w:cantSplit/>
        </w:trPr>
        <w:tc>
          <w:tcPr>
            <w:tcW w:type="dxa" w:w="1250"/>
            <w:tcMar>
              <w:top w:w="80" w:type="dxa"/>
              <w:bottom w:w="80" w:type="dxa"/>
              <w:start w:w="120" w:type="dxa"/>
              <w:end w:w="120" w:type="dxa"/>
            </w:tcMar>
            <w:vAlign w:val="center"/>
          </w:tcPr>
          <w:p>
            <w:pPr>
              <w:keepLines/>
              <w:spacing w:after="0" w:line="259" w:lineRule="auto"/>
            </w:pPr>
            <w:r>
              <w:rPr>
                <w:rFonts w:ascii="Calibri" w:hAnsi="Calibri"/>
                <w:color w:val="111111"/>
                <w:sz w:val="18"/>
              </w:rPr>
              <w:t>object / location</w:t>
            </w:r>
          </w:p>
        </w:tc>
        <w:tc>
          <w:tcPr>
            <w:tcW w:type="dxa" w:w="3730"/>
            <w:tcMar>
              <w:top w:w="80" w:type="dxa"/>
              <w:bottom w:w="80" w:type="dxa"/>
              <w:start w:w="120" w:type="dxa"/>
              <w:end w:w="120" w:type="dxa"/>
            </w:tcMar>
            <w:vAlign w:val="center"/>
          </w:tcPr>
          <w:p>
            <w:pPr>
              <w:keepLines/>
              <w:spacing w:after="0" w:line="259" w:lineRule="auto"/>
            </w:pPr>
            <w:r>
              <w:rPr>
                <w:rFonts w:ascii="Calibri" w:hAnsi="Calibri"/>
                <w:color w:val="111111"/>
                <w:sz w:val="18"/>
              </w:rPr>
              <w:t>Runtime scene entities and spatial references.</w:t>
            </w:r>
          </w:p>
        </w:tc>
        <w:tc>
          <w:tcPr>
            <w:tcW w:type="dxa" w:w="4380"/>
            <w:tcMar>
              <w:top w:w="80" w:type="dxa"/>
              <w:bottom w:w="80" w:type="dxa"/>
              <w:start w:w="120" w:type="dxa"/>
              <w:end w:w="120" w:type="dxa"/>
            </w:tcMar>
            <w:vAlign w:val="center"/>
          </w:tcPr>
          <w:p>
            <w:pPr>
              <w:keepLines/>
              <w:spacing w:after="0" w:line="259" w:lineRule="auto"/>
            </w:pPr>
            <w:r>
              <w:rPr>
                <w:rFonts w:ascii="Calibri" w:hAnsi="Calibri"/>
                <w:color w:val="111111"/>
                <w:sz w:val="18"/>
              </w:rPr>
              <w:t>Names are unique while allocated; explicit cleanup or mission unload must define ownership.</w:t>
            </w:r>
          </w:p>
        </w:tc>
      </w:tr>
    </w:tbl>
    <w:p>
      <w:pPr>
        <w:spacing w:after="40"/>
      </w:pPr>
    </w:p>
    <w:p>
      <w:pPr>
        <w:pStyle w:val="Heading2"/>
      </w:pPr>
      <w:r>
        <w:t>Technical footprint</w:t>
      </w:r>
    </w:p>
    <w:tbl>
      <w:tblPr>
        <w:tblStyle w:val="TableGrid"/>
        <w:tblW w:type="dxa" w:w="9360"/>
        <w:jc w:val="left"/>
        <w:tblLayout w:type="fixed"/>
        <w:tblLook w:firstColumn="1" w:firstRow="1" w:lastColumn="0" w:lastRow="0" w:noHBand="0" w:noVBand="1" w:val="04A0"/>
        <w:tblInd w:w="120" w:type="dxa"/>
      </w:tblPr>
      <w:tblGrid>
        <w:gridCol w:w="1650"/>
        <w:gridCol w:w="1700"/>
        <w:gridCol w:w="1700"/>
        <w:gridCol w:w="4310"/>
      </w:tblGrid>
      <w:tr>
        <w:trPr>
          <w:tblHeader w:val="true"/>
          <w:cantSplit/>
          <w:cantSplit/>
        </w:trPr>
        <w:tc>
          <w:tcPr>
            <w:tcW w:type="dxa" w:w="16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Metric</w:t>
            </w:r>
          </w:p>
        </w:tc>
        <w:tc>
          <w:tcPr>
            <w:tcW w:type="dxa" w:w="17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Archived baseline 0.997</w:t>
            </w:r>
          </w:p>
        </w:tc>
        <w:tc>
          <w:tcPr>
            <w:tcW w:type="dxa" w:w="17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Release 0.997 92</w:t>
            </w:r>
          </w:p>
        </w:tc>
        <w:tc>
          <w:tcPr>
            <w:tcW w:type="dxa" w:w="431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Interpretation</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Source size</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3.50 MB</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8.78 MB</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Feature density increased substantially; compact formatting limits line growth but not semantic size.</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Macros</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380</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586</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+54%; reuse improved in places, but the shared state surface also expanded.</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Parsed JSON nodes</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182,673</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256,603</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+40%; a better complexity signal than physical lines.</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Maximum nesting</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28</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40</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Deep condition/command trees are a review and regression hotspot.</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create_thread</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738</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803</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Persistent concurrency remains a defining architectural characteristic.</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create_object</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555</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538</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Similar scale, but lifecycle interactions are more complex.</w:t>
            </w:r>
          </w:p>
        </w:tc>
      </w:tr>
      <w:tr>
        <w:trPr>
          <w:cantSplit/>
          <w:cantSplit/>
        </w:trPr>
        <w:tc>
          <w:tcPr>
            <w:tcW w:type="dxa" w:w="1650"/>
            <w:tcMar>
              <w:top w:w="80" w:type="dxa"/>
              <w:bottom w:w="80" w:type="dxa"/>
              <w:start w:w="120" w:type="dxa"/>
              <w:end w:w="120" w:type="dxa"/>
            </w:tcMar>
            <w:vAlign w:val="center"/>
          </w:tcPr>
          <w:p>
            <w:pPr>
              <w:keepLines/>
              <w:spacing w:after="0" w:line="259" w:lineRule="auto"/>
            </w:pPr>
            <w:r>
              <w:rPr>
                <w:rFonts w:ascii="Calibri" w:hAnsi="Calibri"/>
                <w:color w:val="111111"/>
                <w:sz w:val="17"/>
              </w:rPr>
              <w:t>destroy_object</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303</w:t>
            </w:r>
          </w:p>
        </w:tc>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7"/>
              </w:rPr>
              <w:t>307</w:t>
            </w:r>
          </w:p>
        </w:tc>
        <w:tc>
          <w:tcPr>
            <w:tcW w:type="dxa" w:w="4310"/>
            <w:tcMar>
              <w:top w:w="80" w:type="dxa"/>
              <w:bottom w:w="80" w:type="dxa"/>
              <w:start w:w="120" w:type="dxa"/>
              <w:end w:w="120" w:type="dxa"/>
            </w:tcMar>
            <w:vAlign w:val="center"/>
          </w:tcPr>
          <w:p>
            <w:pPr>
              <w:keepLines/>
              <w:spacing w:after="0" w:line="259" w:lineRule="auto"/>
            </w:pPr>
            <w:r>
              <w:rPr>
                <w:rFonts w:ascii="Calibri" w:hAnsi="Calibri"/>
                <w:color w:val="111111"/>
                <w:sz w:val="17"/>
              </w:rPr>
              <w:t>Scene unload handles many objects; explicit ownership remains advisable.</w:t>
            </w:r>
          </w:p>
        </w:tc>
      </w:tr>
    </w:tbl>
    <w:p>
      <w:pPr>
        <w:spacing w:after="40"/>
      </w:pPr>
    </w:p>
    <w:p>
      <w:pPr>
        <w:pStyle w:val="Heading1"/>
      </w:pPr>
      <w:r>
        <w:t>Evolution from the archived 0.997 baseline</w:t>
      </w:r>
    </w:p>
    <w:p>
      <w:pPr>
        <w:keepNext w:val="0"/>
        <w:spacing w:before="0" w:after="120" w:line="300" w:lineRule="auto"/>
      </w:pPr>
      <w:r>
        <w:rPr>
          <w:rFonts w:ascii="Calibri" w:hAnsi="Calibri"/>
          <w:b w:val="0"/>
          <w:i w:val="0"/>
          <w:color w:val="111111"/>
          <w:sz w:val="22"/>
        </w:rPr>
        <w:t>The repository does not contain a dedicated previous Word review. The following assessment reconstructs progress from Git commits and the handoff contracts.</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tblHeader w:val="true"/>
          <w:cantSplit/>
          <w:cantSplit/>
        </w:trPr>
        <w:tc>
          <w:tcPr>
            <w:tcW w:type="dxa" w:w="14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Area</w:t>
            </w:r>
          </w:p>
        </w:tc>
        <w:tc>
          <w:tcPr>
            <w:tcW w:type="dxa" w:w="43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Resolved / materially improved</w:t>
            </w:r>
          </w:p>
        </w:tc>
        <w:tc>
          <w:tcPr>
            <w:tcW w:type="dxa" w:w="366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Still open</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Condition syntax</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Releases 85–90 repaired missing operators/direct require errors; validator now scans all executable and renderer structures.</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Dynamic emitted payloads still need targeted contracts and runtime exercise.</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CARLS DF</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Persistent frequency/source/modulation, legal band grid, forced modes, presets, AUTO/MANUAL and UI rules are guarded.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Bearing/source behavior still depends on live mission references and MSFS tests.</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Checklists</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Before-takeoff page restored with fixed 49-character monospace rows and real/timed gates.</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Aircraft-package LVAR changes can invalidate gates; runtime matrix is mandatory.</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5G/Wi-Fi</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Mutual visibility, homebar asset and persistent 5G option implemented.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Connectivity simulation remains binary; no latency/coverage degradation model.</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Mission presets</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Dirty-table flush on switch/exit, group confirmation and safe recompute are asserted.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Profile presets are only proposed in the companion workbook; no runtime profile system added.</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Medical</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P1–P3 manual selection/display adapter, ambulance pre-assessment and frozen transport report implemented.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No five-patient registry, atomic allocator or unified CPR lease yet.</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Ambulance</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Ambulance/ambudoc/us ownership is separated; hospital selection precedes driving; ETA buffer logic added.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Requires near/far and 3/4/5-crew runtime matrix.</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Marshal</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Centre cone, left/right mapping, altitude profile, rotor restart and return-base persistence improved.</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Object reuse and all manual/automatic variants need repeated simulator validation.</w:t>
            </w:r>
          </w:p>
        </w:tc>
      </w:tr>
      <w:tr>
        <w:trPr>
          <w:cantSplit/>
          <w:cantSplit/>
        </w:trPr>
        <w:tc>
          <w:tcPr>
            <w:tcW w:type="dxa" w:w="1400"/>
            <w:tcMar>
              <w:top w:w="80" w:type="dxa"/>
              <w:bottom w:w="80" w:type="dxa"/>
              <w:start w:w="120" w:type="dxa"/>
              <w:end w:w="120" w:type="dxa"/>
            </w:tcMar>
            <w:vAlign w:val="center"/>
          </w:tcPr>
          <w:p>
            <w:pPr>
              <w:keepLines/>
              <w:spacing w:after="0" w:line="259" w:lineRule="auto"/>
            </w:pPr>
            <w:r>
              <w:rPr>
                <w:rFonts w:ascii="Calibri" w:hAnsi="Calibri"/>
                <w:color w:val="111111"/>
                <w:sz w:val="17"/>
              </w:rPr>
              <w:t>Debug</w:t>
            </w:r>
          </w:p>
        </w:tc>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7"/>
              </w:rPr>
              <w:t>Release 92 thematic views, relevance filters, visible issues and persistent snapshot.</w:t>
            </w:r>
          </w:p>
        </w:tc>
        <w:tc>
          <w:tcPr>
            <w:tcW w:type="dxa" w:w="3660"/>
            <w:tcMar>
              <w:top w:w="80" w:type="dxa"/>
              <w:bottom w:w="80" w:type="dxa"/>
              <w:start w:w="120" w:type="dxa"/>
              <w:end w:w="120" w:type="dxa"/>
            </w:tcMar>
            <w:vAlign w:val="center"/>
          </w:tcPr>
          <w:p>
            <w:pPr>
              <w:keepLines/>
              <w:spacing w:after="0" w:line="259" w:lineRule="auto"/>
            </w:pPr>
            <w:r>
              <w:rPr>
                <w:rFonts w:ascii="Calibri" w:hAnsi="Calibri"/>
                <w:color w:val="111111"/>
                <w:sz w:val="17"/>
              </w:rPr>
              <w:t>Snapshot history/export and automatic failure capture are future work.</w:t>
            </w:r>
          </w:p>
        </w:tc>
      </w:tr>
    </w:tbl>
    <w:p>
      <w:pPr>
        <w:spacing w:after="40"/>
      </w:pPr>
    </w:p>
    <w:p>
      <w:pPr>
        <w:pStyle w:val="Heading1"/>
      </w:pPr>
      <w:r>
        <w:t>Release 92 changes and validation evidence</w:t>
      </w:r>
    </w:p>
    <w:p>
      <w:pPr>
        <w:pStyle w:val="Heading2"/>
      </w:pPr>
      <w:r>
        <w:t>Debug Center</w:t>
      </w:r>
    </w:p>
    <w:p>
      <w:pPr>
        <w:spacing w:after="80" w:line="300" w:lineRule="auto"/>
        <w:numPr>
          <w:ilvl w:val="0"/>
          <w:numId w:val="10"/>
        </w:numPr>
      </w:pPr>
      <w:r>
        <w:rPr>
          <w:rFonts w:ascii="Calibri" w:hAnsi="Calibri"/>
          <w:color w:val="111111"/>
          <w:sz w:val="22"/>
        </w:rPr>
        <w:t>SUMMARY: mission identity/phase/load/FPL, connections, ground units, patient ownership, marshal, preset status, active errors and the saved snapshot.</w:t>
      </w:r>
    </w:p>
    <w:p>
      <w:pPr>
        <w:spacing w:after="80" w:line="300" w:lineRule="auto"/>
        <w:numPr>
          <w:ilvl w:val="0"/>
          <w:numId w:val="10"/>
        </w:numPr>
      </w:pPr>
      <w:r>
        <w:rPr>
          <w:rFonts w:ascii="Calibri" w:hAnsi="Calibri"/>
          <w:color w:val="111111"/>
          <w:sz w:val="22"/>
        </w:rPr>
        <w:t>MISSION: dispatch/service state, objective progression, OSM/CICERS and mission generation diagnostics.</w:t>
      </w:r>
    </w:p>
    <w:p>
      <w:pPr>
        <w:spacing w:after="80" w:line="300" w:lineRule="auto"/>
        <w:numPr>
          <w:ilvl w:val="0"/>
          <w:numId w:val="10"/>
        </w:numPr>
      </w:pPr>
      <w:r>
        <w:rPr>
          <w:rFonts w:ascii="Calibri" w:hAnsi="Calibri"/>
          <w:color w:val="111111"/>
          <w:sz w:val="22"/>
        </w:rPr>
        <w:t>MEDICAL: active/display patient, P1–P3 state, vital/report ownership and ground-transport flags.</w:t>
      </w:r>
    </w:p>
    <w:p>
      <w:pPr>
        <w:spacing w:after="80" w:line="300" w:lineRule="auto"/>
        <w:numPr>
          <w:ilvl w:val="0"/>
          <w:numId w:val="10"/>
        </w:numPr>
      </w:pPr>
      <w:r>
        <w:rPr>
          <w:rFonts w:ascii="Calibri" w:hAnsi="Calibri"/>
          <w:color w:val="111111"/>
          <w:sz w:val="22"/>
        </w:rPr>
        <w:t>GROUND: ambulance/police/fire relevance, route/arrival/transfer state and hospital progress.</w:t>
      </w:r>
    </w:p>
    <w:p>
      <w:pPr>
        <w:spacing w:after="80" w:line="300" w:lineRule="auto"/>
        <w:numPr>
          <w:ilvl w:val="0"/>
          <w:numId w:val="10"/>
        </w:numPr>
      </w:pPr>
      <w:r>
        <w:rPr>
          <w:rFonts w:ascii="Calibri" w:hAnsi="Calibri"/>
          <w:color w:val="111111"/>
          <w:sz w:val="22"/>
        </w:rPr>
        <w:t>GUIDANCE: marshal/pisteur, approach/departure, helicopter scene and related navigation state.</w:t>
      </w:r>
    </w:p>
    <w:p>
      <w:pPr>
        <w:spacing w:after="80" w:line="300" w:lineRule="auto"/>
        <w:numPr>
          <w:ilvl w:val="0"/>
          <w:numId w:val="10"/>
        </w:numPr>
      </w:pPr>
      <w:r>
        <w:rPr>
          <w:rFonts w:ascii="Calibri" w:hAnsi="Calibri"/>
          <w:color w:val="111111"/>
          <w:sz w:val="22"/>
        </w:rPr>
        <w:t>INVENTORY: complete local and LVAR inventories retained as lower-priority gray data.</w:t>
      </w:r>
    </w:p>
    <w:p>
      <w:pPr>
        <w:pStyle w:val="Heading2"/>
      </w:pPr>
      <w:r>
        <w:t>Persistent snapshot</w:t>
      </w:r>
    </w:p>
    <w:p>
      <w:pPr>
        <w:keepNext w:val="0"/>
        <w:spacing w:before="0" w:after="120" w:line="300" w:lineRule="auto"/>
      </w:pPr>
      <w:r>
        <w:rPr>
          <w:rFonts w:ascii="Calibri" w:hAnsi="Calibri"/>
          <w:b w:val="0"/>
          <w:i w:val="0"/>
          <w:color w:val="111111"/>
          <w:sz w:val="22"/>
        </w:rPr>
        <w:t>The Debug page opens the HPG table Andrews_debug_snapshots. CAPTURE SNAPSHOT stores mission code, variant/subvariant, time, phase, load, FPL, route/query errors, transport owner/state, active/display patient and preset; save_table immediately commits it. CLEAR SNAPSHOT invalidates and saves the record. HPG documents that unsaved table changes are lost when leaving the mission, so the explicit save is required.</w:t>
      </w:r>
    </w:p>
    <w:p>
      <w:pPr>
        <w:spacing w:before="80" w:after="120"/>
        <w:ind w:left="216" w:right="216"/>
        <w:shd w:fill="F2F4F7"/>
      </w:pPr>
      <w:r>
        <w:rPr>
          <w:rFonts w:ascii="Consolas" w:hAnsi="Consolas"/>
          <w:color w:val="0B2545"/>
          <w:sz w:val="17"/>
        </w:rPr>
        <w:t>{"open_table":{"static":"Debug_Table"}}  …  {"save_table":{"static":"Debug_Table"}}</w:t>
      </w:r>
    </w:p>
    <w:p>
      <w:pPr>
        <w:pStyle w:val="Heading2"/>
      </w:pPr>
      <w:r>
        <w:t>Defect found and closed during this review</w:t>
      </w:r>
    </w:p>
    <w:p>
      <w:pPr>
        <w:pStyle w:val="Heading2"/>
      </w:pPr>
      <w:r>
        <w:t>R92-FIX-01 — Malformed location command in random-fishing branch</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Closed</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Fixed in 0.997 92</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Query random fishing contained create_lùocation (accented ù) at the branch that selects RUP after an OSM point-in-polygon search.</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HPG would not recognize the command and the branch could fail only when that rare path was selected. Replaced it with create_location and added a validator rule that rejects any create_l*ocation spelling other than create_location.</w:t>
            </w:r>
          </w:p>
        </w:tc>
      </w:tr>
    </w:tbl>
    <w:p>
      <w:pPr>
        <w:spacing w:after="40"/>
      </w:pPr>
    </w:p>
    <w:p>
      <w:pPr>
        <w:pStyle w:val="Heading2"/>
      </w:pPr>
      <w:r>
        <w:t>Automated gate result</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cantSplit/>
          <w:cantSplit/>
        </w:trPr>
        <w:tc>
          <w:tcPr>
            <w:tcW w:type="dxa" w:w="43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Check</w:t>
            </w:r>
          </w:p>
        </w:tc>
        <w:tc>
          <w:tcPr>
            <w:tcW w:type="dxa" w:w="506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Result</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Primary JSON / global JSON / train JSON parse</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PASS</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Executable conditions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6,849 primary + 5 companion</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Renderer conditions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2,201 primary + 4 companion</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require leaves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6,779</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Static macro calls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2,063; all resolved</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Dynamic macro calls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3 prefixes checked</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Icon/image references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266</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CARLS layouts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45; three string labels per side</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Before-takeoff rows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33; monospace and exactly 49 characters</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Release regression assertions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251</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Companion train.json contract assertions</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11</w:t>
            </w:r>
          </w:p>
        </w:tc>
      </w:tr>
      <w:tr>
        <w:trPr>
          <w:cantSplit/>
          <w:cantSplit/>
        </w:trPr>
        <w:tc>
          <w:tcPr>
            <w:tcW w:type="dxa" w:w="4300"/>
            <w:tcMar>
              <w:top w:w="80" w:type="dxa"/>
              <w:bottom w:w="80" w:type="dxa"/>
              <w:start w:w="120" w:type="dxa"/>
              <w:end w:w="120" w:type="dxa"/>
            </w:tcMar>
            <w:vAlign w:val="center"/>
          </w:tcPr>
          <w:p>
            <w:pPr>
              <w:keepLines/>
              <w:spacing w:after="0" w:line="259" w:lineRule="auto"/>
            </w:pPr>
            <w:r>
              <w:rPr>
                <w:rFonts w:ascii="Calibri" w:hAnsi="Calibri"/>
                <w:color w:val="111111"/>
                <w:sz w:val="18"/>
              </w:rPr>
              <w:t>git diff --check</w:t>
            </w:r>
          </w:p>
        </w:tc>
        <w:tc>
          <w:tcPr>
            <w:tcW w:type="dxa" w:w="5060"/>
            <w:tcMar>
              <w:top w:w="80" w:type="dxa"/>
              <w:bottom w:w="80" w:type="dxa"/>
              <w:start w:w="120" w:type="dxa"/>
              <w:end w:w="120" w:type="dxa"/>
            </w:tcMar>
            <w:vAlign w:val="center"/>
          </w:tcPr>
          <w:p>
            <w:pPr>
              <w:keepLines/>
              <w:spacing w:after="0" w:line="259" w:lineRule="auto"/>
            </w:pPr>
            <w:r>
              <w:rPr>
                <w:rFonts w:ascii="Calibri" w:hAnsi="Calibri"/>
                <w:color w:val="111111"/>
                <w:sz w:val="18"/>
              </w:rPr>
              <w:t>PASS; line-ending warnings only</w:t>
            </w:r>
          </w:p>
        </w:tc>
      </w:tr>
    </w:tbl>
    <w:p>
      <w:pPr>
        <w:spacing w:after="40"/>
      </w:pPr>
    </w:p>
    <w:p>
      <w:pPr>
        <w:pStyle w:val="Heading1"/>
      </w:pPr>
      <w:r>
        <w:t>Code-review findings and technical debt</w:t>
      </w:r>
    </w:p>
    <w:tbl>
      <w:tblPr>
        <w:tblStyle w:val="TableGrid"/>
        <w:tblW w:type="dxa" w:w="9360"/>
        <w:jc w:val="left"/>
        <w:tblLayout w:type="fixed"/>
        <w:tblLook w:firstColumn="1" w:firstRow="1" w:lastColumn="0" w:lastRow="0" w:noHBand="0" w:noVBand="1" w:val="04A0"/>
        <w:tblInd w:w="120" w:type="dxa"/>
      </w:tblPr>
      <w:tblGrid>
        <w:gridCol w:w="9360"/>
      </w:tblGrid>
      <w:tr>
        <w:trPr>
          <w:cantSplit/>
          <w:cantSplit/>
        </w:trPr>
        <w:tc>
          <w:tcPr>
            <w:tcW w:type="dxa" w:w="9360"/>
            <w:shd w:fill="F4F6F9"/>
            <w:tcMar>
              <w:top w:w="80" w:type="dxa"/>
              <w:bottom w:w="80" w:type="dxa"/>
              <w:start w:w="120" w:type="dxa"/>
              <w:end w:w="120" w:type="dxa"/>
            </w:tcMar>
            <w:vAlign w:val="center"/>
          </w:tcPr>
          <w:p>
            <w:pPr>
              <w:keepLines/>
              <w:spacing w:after="60"/>
            </w:pPr>
            <w:r>
              <w:rPr>
                <w:rFonts w:ascii="Calibri" w:hAnsi="Calibri"/>
                <w:b/>
                <w:color w:val="1F4D78"/>
                <w:sz w:val="22"/>
              </w:rPr>
              <w:t>Severity model</w:t>
              <w:br/>
            </w:r>
            <w:r>
              <w:rPr>
                <w:rFonts w:ascii="Calibri" w:hAnsi="Calibri"/>
                <w:color w:val="111111"/>
                <w:sz w:val="20"/>
              </w:rPr>
              <w:t>High = material release/architecture risk; Medium = important maintainability or scenario risk; Low = polish or bounded technical debt. A priority is not proof of a currently reproducible runtime defect.</w:t>
            </w:r>
          </w:p>
        </w:tc>
      </w:tr>
    </w:tbl>
    <w:p>
      <w:pPr>
        <w:spacing w:after="40"/>
      </w:pPr>
    </w:p>
    <w:p>
      <w:pPr>
        <w:pStyle w:val="Heading2"/>
      </w:pPr>
      <w:r>
        <w:t>H-01 — Runtime validation remains the release gate</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High</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workspace cannot run HPG/MSFS. The current branch changes Debug rendering, HPG table persistence, and a scene-generation command.</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Timing, object availability, display clipping and simulator values remain unproven. Run the appendix matrix before public distribution and record results by build.</w:t>
            </w:r>
          </w:p>
        </w:tc>
      </w:tr>
    </w:tbl>
    <w:p>
      <w:pPr>
        <w:spacing w:after="40"/>
      </w:pPr>
    </w:p>
    <w:p>
      <w:pPr>
        <w:pStyle w:val="Heading2"/>
      </w:pPr>
      <w:r>
        <w:t>H-02 — Monolithic state and concurrency surface</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High</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mission has 256,603 nodes, 586 macros, 803 create_thread commands, 55 explicit infinite while loops, 2,169 waits and a maximum nesting depth of 40.</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Cross-thread ordering and stale local/global/LVAR combinations are difficult to reason about and have caused regressions. Introduce subsystem owners, explicit state enums, generation tokens and one watchdog per long-running workflow; do not add copied branches without adapters.</w:t>
            </w:r>
          </w:p>
        </w:tc>
      </w:tr>
    </w:tbl>
    <w:p>
      <w:pPr>
        <w:spacing w:after="40"/>
      </w:pPr>
    </w:p>
    <w:p>
      <w:pPr>
        <w:pStyle w:val="Heading2"/>
      </w:pPr>
      <w:r>
        <w:t>H-03 — Custom loader contract is duplicated and stale</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DE9E7"/>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High</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train.json embeds a 0.99634 minimum and 67 accident rows while the primary mission currently has 68; it writes 31 derived globals before loading HEMSRandE.</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The example can drift from the authoritative accident table and silently teach an obsolete integration pattern. Publish a versioned minimal loader contract and keep only the editable ID 999 record plus explicitly required L:CUS_* inputs.</w:t>
            </w:r>
          </w:p>
        </w:tc>
      </w:tr>
    </w:tbl>
    <w:p>
      <w:pPr>
        <w:spacing w:after="40"/>
      </w:pPr>
    </w:p>
    <w:p>
      <w:pPr>
        <w:pStyle w:val="Heading2"/>
      </w:pPr>
      <w:r>
        <w:t>M-01 — Five/six-patient architecture is only partially implemented</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Release 91 provides P1–P3 adapters, active-patient ownership and ground assessment, but no PATIENT_CAPACITY registry, generic allocator or active_cpr_slot exists.</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Copying P4/P5 would multiply state and routing defects. Implement the staged registry/allocator plan before increasing physical capacity.</w:t>
            </w:r>
          </w:p>
        </w:tc>
      </w:tr>
    </w:tbl>
    <w:p>
      <w:pPr>
        <w:spacing w:after="40"/>
      </w:pPr>
    </w:p>
    <w:p>
      <w:pPr>
        <w:pStyle w:val="Heading2"/>
      </w:pPr>
      <w:r>
        <w:t>M-02 — Object-name ownership is implicit</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HPG requires unique create_object names. The mission contains 538 create_object and 307 destroy_object commands across asynchronous branches.</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A repeated or late branch can attempt to create an existing name; marshal and ground-unit reuse are especially sensitive. Wrap shared object creation in has_object/destroy-or-reuse adapters and store an owner/generation token in Debug.</w:t>
            </w:r>
          </w:p>
        </w:tc>
      </w:tr>
    </w:tbl>
    <w:p>
      <w:pPr>
        <w:spacing w:after="40"/>
      </w:pPr>
    </w:p>
    <w:p>
      <w:pPr>
        <w:pStyle w:val="Heading2"/>
      </w:pPr>
      <w:r>
        <w:t>M-03 — Dynamic renderer templates need dedicated validation</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Four mission-list renderer paths are create_struct templates; a naïve static checker reports invalid roots even though the emitted payload contract differs.</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Future edits can break generated conditions without being exercised by the generic walker. Add unit fixtures that materialize representative mission-list rows and validate the emitted JSON shape.</w:t>
            </w:r>
          </w:p>
        </w:tc>
      </w:tr>
    </w:tbl>
    <w:p>
      <w:pPr>
        <w:spacing w:after="40"/>
      </w:pPr>
    </w:p>
    <w:p>
      <w:pPr>
        <w:pStyle w:val="Heading2"/>
      </w:pPr>
      <w:r>
        <w:t>M-04 — Error containment is uneven</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mission contains 34 try/catch pairs and 64 no_results_commands handlers, but 943 create_location, 42 create_route and many object/drive operations.</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Not every operation needs a catch, but high-impact route/location/object transitions should expose a bounded timeout and recovery state. Create a documented error policy and validator assertions for critical state machines.</w:t>
            </w:r>
          </w:p>
        </w:tc>
      </w:tr>
    </w:tbl>
    <w:p>
      <w:pPr>
        <w:spacing w:after="40"/>
      </w:pPr>
    </w:p>
    <w:p>
      <w:pPr>
        <w:pStyle w:val="Heading2"/>
      </w:pPr>
      <w:r>
        <w:t>M-05 — Debug persistence stores only one manual snapshot</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release-92 table keeps one record and captures only when the user presses CAPTURE SNAPSHOT.</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A transient failure may be overwritten or missed before the user opens Debug. Add a small ring buffer keyed by timestamp/generation and auto-capture on route/query/transfer watchdog errors.</w:t>
            </w:r>
          </w:p>
        </w:tc>
      </w:tr>
    </w:tbl>
    <w:p>
      <w:pPr>
        <w:spacing w:after="40"/>
      </w:pPr>
    </w:p>
    <w:p>
      <w:pPr>
        <w:pStyle w:val="Heading2"/>
      </w:pPr>
      <w:r>
        <w:t>M-06 — Large macro hotspots impede review</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FFF4D6"/>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Medium</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patient health is ~162.9 KB, Debug page ~112.2 KB, objective1 ~59.7 KB and settings ~59.7 KB serialized.</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A small edit has a wide diff and reviewers can miss a distant malformed command. Split by responsibility while preserving the compact historical JSON style; generate repetitive UI rows from reviewed source data.</w:t>
            </w:r>
          </w:p>
        </w:tc>
      </w:tr>
    </w:tbl>
    <w:p>
      <w:pPr>
        <w:spacing w:after="40"/>
      </w:pPr>
    </w:p>
    <w:p>
      <w:pPr>
        <w:pStyle w:val="Heading2"/>
      </w:pPr>
      <w:r>
        <w:t>M-07 — Architecture documentation drift corrected</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E7F4E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Closed</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Closed</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multi-patient handoff previously said no implementation existed. Release 92 now identifies the P1-P3 work completed in release 91 and separately lists the open five-slot registry, allocator and CPR lease.</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The stale handoff could have caused duplicate work or a false assumption that the full registry existed. Keep staged architecture documents synchronized with each implementation release and use this review as the current technical baseline.</w:t>
            </w:r>
          </w:p>
        </w:tc>
      </w:tr>
    </w:tbl>
    <w:p>
      <w:pPr>
        <w:spacing w:after="40"/>
      </w:pPr>
    </w:p>
    <w:p>
      <w:pPr>
        <w:pStyle w:val="Heading2"/>
      </w:pPr>
      <w:r>
        <w:t>L-01 — Naming and spelling consistency</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Low</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state surface mixes upper/lower case, spaces in LVAR names, historical misspellings and numerical suffix conventions.</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Typos are easy to introduce and hard to distinguish from intentional legacy names. Maintain a machine-readable state dictionary with owner, type, default, persistence and deprecation alias.</w:t>
            </w:r>
          </w:p>
        </w:tc>
      </w:tr>
    </w:tbl>
    <w:p>
      <w:pPr>
        <w:spacing w:after="40"/>
      </w:pPr>
    </w:p>
    <w:p>
      <w:pPr>
        <w:pStyle w:val="Heading2"/>
      </w:pPr>
      <w:r>
        <w:t>L-02 — Debug inventory is complete but expensive to scan</w:t>
      </w:r>
    </w:p>
    <w:tbl>
      <w:tblPr>
        <w:tblStyle w:val="TableGrid"/>
        <w:tblW w:type="dxa" w:w="9360"/>
        <w:jc w:val="left"/>
        <w:tblLayout w:type="fixed"/>
        <w:tblLook w:firstColumn="1" w:firstRow="1" w:lastColumn="0" w:lastRow="0" w:noHBand="0" w:noVBand="1" w:val="04A0"/>
        <w:tblInd w:w="120" w:type="dxa"/>
      </w:tblPr>
      <w:tblGrid>
        <w:gridCol w:w="900"/>
        <w:gridCol w:w="900"/>
        <w:gridCol w:w="3060"/>
        <w:gridCol w:w="4500"/>
      </w:tblGrid>
      <w:tr>
        <w:trPr>
          <w:tblHeader w:val="true"/>
          <w:cantSplit/>
          <w:cantSplit/>
        </w:trPr>
        <w:tc>
          <w:tcPr>
            <w:tcW w:type="dxa" w:w="9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Priority</w:t>
            </w:r>
          </w:p>
        </w:tc>
        <w:tc>
          <w:tcPr>
            <w:tcW w:type="dxa" w:w="9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Status</w:t>
            </w:r>
          </w:p>
        </w:tc>
        <w:tc>
          <w:tcPr>
            <w:tcW w:type="dxa" w:w="306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Evidence</w:t>
            </w:r>
          </w:p>
        </w:tc>
        <w:tc>
          <w:tcPr>
            <w:tcW w:type="dxa" w:w="4500"/>
            <w:shd w:fill="EAF2F8"/>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Impact / recommendation</w:t>
            </w:r>
          </w:p>
        </w:tc>
      </w:tr>
      <w:tr>
        <w:trPr>
          <w:cantSplit/>
          <w:cantSplit/>
        </w:trPr>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Low</w:t>
            </w:r>
          </w:p>
        </w:tc>
        <w:tc>
          <w:tcPr>
            <w:tcW w:type="dxa" w:w="900"/>
            <w:tcMar>
              <w:top w:w="80" w:type="dxa"/>
              <w:bottom w:w="80" w:type="dxa"/>
              <w:start w:w="120" w:type="dxa"/>
              <w:end w:w="120" w:type="dxa"/>
            </w:tcMar>
            <w:vAlign w:val="center"/>
          </w:tcPr>
          <w:p>
            <w:pPr>
              <w:keepLines/>
              <w:spacing w:after="0" w:line="259" w:lineRule="auto"/>
            </w:pPr>
            <w:r>
              <w:rPr>
                <w:rFonts w:ascii="Calibri" w:hAnsi="Calibri"/>
                <w:color w:val="111111"/>
                <w:sz w:val="18"/>
              </w:rPr>
              <w:t>Open</w:t>
            </w:r>
          </w:p>
        </w:tc>
        <w:tc>
          <w:tcPr>
            <w:tcW w:type="dxa" w:w="3060"/>
            <w:tcMar>
              <w:top w:w="80" w:type="dxa"/>
              <w:bottom w:w="80" w:type="dxa"/>
              <w:start w:w="120" w:type="dxa"/>
              <w:end w:w="120" w:type="dxa"/>
            </w:tcMar>
            <w:vAlign w:val="center"/>
          </w:tcPr>
          <w:p>
            <w:pPr>
              <w:keepLines/>
              <w:spacing w:after="0" w:line="259" w:lineRule="auto"/>
            </w:pPr>
            <w:r>
              <w:rPr>
                <w:rFonts w:ascii="Calibri" w:hAnsi="Calibri"/>
                <w:color w:val="111111"/>
                <w:sz w:val="18"/>
              </w:rPr>
              <w:t>The Inventory view intentionally preserves all local/LVAR rows and therefore remains long.</w:t>
            </w:r>
          </w:p>
        </w:tc>
        <w:tc>
          <w:tcPr>
            <w:tcW w:type="dxa" w:w="4500"/>
            <w:tcMar>
              <w:top w:w="80" w:type="dxa"/>
              <w:bottom w:w="80" w:type="dxa"/>
              <w:start w:w="120" w:type="dxa"/>
              <w:end w:w="120" w:type="dxa"/>
            </w:tcMar>
            <w:vAlign w:val="center"/>
          </w:tcPr>
          <w:p>
            <w:pPr>
              <w:keepLines/>
              <w:spacing w:after="0" w:line="259" w:lineRule="auto"/>
            </w:pPr>
            <w:r>
              <w:rPr>
                <w:rFonts w:ascii="Calibri" w:hAnsi="Calibri"/>
                <w:color w:val="111111"/>
                <w:sz w:val="18"/>
              </w:rPr>
              <w:t>Field diagnosis can still require manual scrolling. Add a compact incident code and per-subsystem health summary before considering more raw fields.</w:t>
            </w:r>
          </w:p>
        </w:tc>
      </w:tr>
    </w:tbl>
    <w:p>
      <w:pPr>
        <w:spacing w:after="40"/>
      </w:pPr>
    </w:p>
    <w:p>
      <w:pPr>
        <w:pStyle w:val="Heading1"/>
      </w:pPr>
      <w:r>
        <w:t>train.json custom-mission review</w:t>
      </w:r>
    </w:p>
    <w:p>
      <w:pPr>
        <w:pStyle w:val="Heading2"/>
      </w:pPr>
      <w:r>
        <w:t>What is correct</w:t>
      </w:r>
    </w:p>
    <w:p>
      <w:pPr>
        <w:spacing w:after="80" w:line="300" w:lineRule="auto"/>
        <w:numPr>
          <w:ilvl w:val="0"/>
          <w:numId w:val="10"/>
        </w:numPr>
      </w:pPr>
      <w:r>
        <w:rPr>
          <w:rFonts w:ascii="Calibri" w:hAnsi="Calibri"/>
          <w:color w:val="111111"/>
          <w:sz w:val="22"/>
        </w:rPr>
        <w:t>The file is valid JSON; all five executable and four renderer conditions have valid comparison roots.</w:t>
      </w:r>
    </w:p>
    <w:p>
      <w:pPr>
        <w:spacing w:after="80" w:line="300" w:lineRule="auto"/>
        <w:numPr>
          <w:ilvl w:val="0"/>
          <w:numId w:val="10"/>
        </w:numPr>
      </w:pPr>
      <w:r>
        <w:rPr>
          <w:rFonts w:ascii="Calibri" w:hAnsi="Calibri"/>
          <w:color w:val="111111"/>
          <w:sz w:val="22"/>
        </w:rPr>
        <w:t>The loader uses HPG load_mission to call HEMSRandE; HPG documents that locals are not cleared, which supports the current OBJECT1…OBJECT10 handoff approach.</w:t>
      </w:r>
    </w:p>
    <w:p>
      <w:pPr>
        <w:spacing w:after="80" w:line="300" w:lineRule="auto"/>
        <w:numPr>
          <w:ilvl w:val="0"/>
          <w:numId w:val="10"/>
        </w:numPr>
      </w:pPr>
      <w:r>
        <w:rPr>
          <w:rFonts w:ascii="Calibri" w:hAnsi="Calibri"/>
          <w:color w:val="111111"/>
          <w:sz w:val="22"/>
        </w:rPr>
        <w:t>The accident location is resolved before the primary mission is loaded, and load_mission includes an on_error message.</w:t>
      </w:r>
    </w:p>
    <w:p>
      <w:pPr>
        <w:spacing w:after="80" w:line="300" w:lineRule="auto"/>
        <w:numPr>
          <w:ilvl w:val="0"/>
          <w:numId w:val="10"/>
        </w:numPr>
      </w:pPr>
      <w:r>
        <w:rPr>
          <w:rFonts w:ascii="Calibri" w:hAnsi="Calibri"/>
          <w:color w:val="111111"/>
          <w:sz w:val="22"/>
        </w:rPr>
        <w:t>The file clearly separates basic and advanced editable areas and supplies a concrete train-accident scene with ten optional assets.</w:t>
      </w:r>
    </w:p>
    <w:p>
      <w:pPr>
        <w:spacing w:after="80" w:line="300" w:lineRule="auto"/>
        <w:numPr>
          <w:ilvl w:val="0"/>
          <w:numId w:val="10"/>
        </w:numPr>
      </w:pPr>
      <w:r>
        <w:rPr>
          <w:rFonts w:ascii="Calibri" w:hAnsi="Calibri"/>
          <w:color w:val="111111"/>
          <w:sz w:val="22"/>
        </w:rPr>
        <w:t>copy_location is a documented HPG command; its presence is not itself an error.</w:t>
      </w:r>
    </w:p>
    <w:p>
      <w:pPr>
        <w:pStyle w:val="Heading2"/>
      </w:pPr>
      <w:r>
        <w:t>Defects and improvements</w:t>
      </w:r>
    </w:p>
    <w:tbl>
      <w:tblPr>
        <w:tblStyle w:val="TableGrid"/>
        <w:tblW w:type="dxa" w:w="9360"/>
        <w:jc w:val="left"/>
        <w:tblLayout w:type="fixed"/>
        <w:tblLook w:firstColumn="1" w:firstRow="1" w:lastColumn="0" w:lastRow="0" w:noHBand="0" w:noVBand="1" w:val="04A0"/>
        <w:tblInd w:w="120" w:type="dxa"/>
      </w:tblPr>
      <w:tblGrid>
        <w:gridCol w:w="700"/>
        <w:gridCol w:w="850"/>
        <w:gridCol w:w="3800"/>
        <w:gridCol w:w="4010"/>
      </w:tblGrid>
      <w:tr>
        <w:trPr>
          <w:tblHeader w:val="true"/>
          <w:cantSplit/>
          <w:cantSplit/>
        </w:trPr>
        <w:tc>
          <w:tcPr>
            <w:tcW w:type="dxa" w:w="7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ID</w:t>
            </w:r>
          </w:p>
        </w:tc>
        <w:tc>
          <w:tcPr>
            <w:tcW w:type="dxa" w:w="8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Priority</w:t>
            </w:r>
          </w:p>
        </w:tc>
        <w:tc>
          <w:tcPr>
            <w:tcW w:type="dxa" w:w="38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Finding</w:t>
            </w:r>
          </w:p>
        </w:tc>
        <w:tc>
          <w:tcPr>
            <w:tcW w:type="dxa" w:w="401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Recommended change</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T-01</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High</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Minimum version remains 0.99634 and only warns; it does not prevent loading an incompatible primary mission.</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Use a versioned interface contract and stop/disable START when the required contract is not met.</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T-02</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High</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67 copied accident records duplicate the main catalog and already differ from the main count of 68.</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Retain only ID 999 in the template; standard IDs should be resolved by the primary mission.</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T-03</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High</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The loader writes 31 derived globals such as scene_macro, Query, Icon and pathology fields.</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Pass identifiers/coordinates/options; let missionupdate CUSTOM remain authoritative for derived metadata.</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T-04</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Medium</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Textbox coordinates are split and used without numeric, latitude/longitude range or malformed-input validation.</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Validate both tokens and legal ranges before create_location; keep the previous valid START on error.</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T-05</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Medium</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prototype_3 is easy to reuse accidentally and metadata lacks author/schema/contract version.</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Add an explicit template_id, author, contract_version and replacement checklist.</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T-06</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Medium</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Optional asset titles have no declared dependency manifest or preflight availability report.</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List required packages/titles and expose missing/fallback status before dispatch.</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T-07</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Medium</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No loader snapshot records the exact payload sent to HEMSRandE.</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Persist loader id, contract version, coordinates, resource modes and object slots in a small diagnostic table.</w:t>
            </w:r>
          </w:p>
        </w:tc>
      </w:tr>
      <w:tr>
        <w:trPr>
          <w:cantSplit/>
          <w:cantSplit/>
        </w:trPr>
        <w:tc>
          <w:tcPr>
            <w:tcW w:type="dxa" w:w="700"/>
            <w:tcMar>
              <w:top w:w="80" w:type="dxa"/>
              <w:bottom w:w="80" w:type="dxa"/>
              <w:start w:w="120" w:type="dxa"/>
              <w:end w:w="120" w:type="dxa"/>
            </w:tcMar>
            <w:vAlign w:val="center"/>
          </w:tcPr>
          <w:p>
            <w:pPr>
              <w:keepLines/>
              <w:spacing w:after="0" w:line="259" w:lineRule="auto"/>
            </w:pPr>
            <w:r>
              <w:rPr>
                <w:rFonts w:ascii="Calibri" w:hAnsi="Calibri"/>
                <w:color w:val="111111"/>
                <w:sz w:val="16"/>
              </w:rPr>
              <w:t>T-08</w:t>
            </w:r>
          </w:p>
        </w:tc>
        <w:tc>
          <w:tcPr>
            <w:tcW w:type="dxa" w:w="850"/>
            <w:tcMar>
              <w:top w:w="80" w:type="dxa"/>
              <w:bottom w:w="80" w:type="dxa"/>
              <w:start w:w="120" w:type="dxa"/>
              <w:end w:w="120" w:type="dxa"/>
            </w:tcMar>
            <w:vAlign w:val="center"/>
          </w:tcPr>
          <w:p>
            <w:pPr>
              <w:keepLines/>
              <w:spacing w:after="0" w:line="259" w:lineRule="auto"/>
            </w:pPr>
            <w:r>
              <w:rPr>
                <w:rFonts w:ascii="Calibri" w:hAnsi="Calibri"/>
                <w:color w:val="111111"/>
                <w:sz w:val="16"/>
              </w:rPr>
              <w:t>Low</w:t>
            </w:r>
          </w:p>
        </w:tc>
        <w:tc>
          <w:tcPr>
            <w:tcW w:type="dxa" w:w="3800"/>
            <w:tcMar>
              <w:top w:w="80" w:type="dxa"/>
              <w:bottom w:w="80" w:type="dxa"/>
              <w:start w:w="120" w:type="dxa"/>
              <w:end w:w="120" w:type="dxa"/>
            </w:tcMar>
            <w:vAlign w:val="center"/>
          </w:tcPr>
          <w:p>
            <w:pPr>
              <w:keepLines/>
              <w:spacing w:after="0" w:line="259" w:lineRule="auto"/>
            </w:pPr>
            <w:r>
              <w:rPr>
                <w:rFonts w:ascii="Calibri" w:hAnsi="Calibri"/>
                <w:color w:val="111111"/>
                <w:sz w:val="16"/>
              </w:rPr>
              <w:t>Duplicated comments, spelling issues and long copied data obscure the editable contract.</w:t>
            </w:r>
          </w:p>
        </w:tc>
        <w:tc>
          <w:tcPr>
            <w:tcW w:type="dxa" w:w="4010"/>
            <w:tcMar>
              <w:top w:w="80" w:type="dxa"/>
              <w:bottom w:w="80" w:type="dxa"/>
              <w:start w:w="120" w:type="dxa"/>
              <w:end w:w="120" w:type="dxa"/>
            </w:tcMar>
            <w:vAlign w:val="center"/>
          </w:tcPr>
          <w:p>
            <w:pPr>
              <w:keepLines/>
              <w:spacing w:after="0" w:line="259" w:lineRule="auto"/>
            </w:pPr>
            <w:r>
              <w:rPr>
                <w:rFonts w:ascii="Calibri" w:hAnsi="Calibri"/>
                <w:color w:val="111111"/>
                <w:sz w:val="16"/>
              </w:rPr>
              <w:t>Generate the example from a compact schema and document advanced fields in Markdown.</w:t>
            </w:r>
          </w:p>
        </w:tc>
      </w:tr>
    </w:tbl>
    <w:p>
      <w:pPr>
        <w:spacing w:after="40"/>
      </w:pPr>
    </w:p>
    <w:p>
      <w:pPr>
        <w:pStyle w:val="Heading2"/>
      </w:pPr>
      <w:r>
        <w:t>Recommended version-2 loader contract</w:t>
      </w:r>
    </w:p>
    <w:p>
      <w:pPr>
        <w:spacing w:after="80" w:line="300" w:lineRule="auto"/>
        <w:numPr>
          <w:ilvl w:val="0"/>
          <w:numId w:val="14"/>
        </w:numPr>
      </w:pPr>
      <w:r>
        <w:rPr>
          <w:rFonts w:ascii="Calibri" w:hAnsi="Calibri"/>
          <w:color w:val="111111"/>
          <w:sz w:val="22"/>
        </w:rPr>
        <w:t>Declare loader id, author, contract version and minimum primary build.</w:t>
      </w:r>
    </w:p>
    <w:p>
      <w:pPr>
        <w:spacing w:after="80" w:line="300" w:lineRule="auto"/>
        <w:numPr>
          <w:ilvl w:val="0"/>
          <w:numId w:val="14"/>
        </w:numPr>
      </w:pPr>
      <w:r>
        <w:rPr>
          <w:rFonts w:ascii="Calibri" w:hAnsi="Calibri"/>
          <w:color w:val="111111"/>
          <w:sz w:val="22"/>
        </w:rPr>
        <w:t>Validate mission ID, variant/subvariant, coordinates and rescue-resource modes before enabling dispatch.</w:t>
      </w:r>
    </w:p>
    <w:p>
      <w:pPr>
        <w:spacing w:after="80" w:line="300" w:lineRule="auto"/>
        <w:numPr>
          <w:ilvl w:val="0"/>
          <w:numId w:val="14"/>
        </w:numPr>
      </w:pPr>
      <w:r>
        <w:rPr>
          <w:rFonts w:ascii="Calibri" w:hAnsi="Calibri"/>
          <w:color w:val="111111"/>
          <w:sz w:val="22"/>
        </w:rPr>
        <w:t>Set only documented L:CUS_* inputs and local optional-object slots; avoid copied derived mission globals.</w:t>
      </w:r>
    </w:p>
    <w:p>
      <w:pPr>
        <w:spacing w:after="80" w:line="300" w:lineRule="auto"/>
        <w:numPr>
          <w:ilvl w:val="0"/>
          <w:numId w:val="14"/>
        </w:numPr>
      </w:pPr>
      <w:r>
        <w:rPr>
          <w:rFonts w:ascii="Calibri" w:hAnsi="Calibri"/>
          <w:color w:val="111111"/>
          <w:sz w:val="22"/>
        </w:rPr>
        <w:t>Resolve START and accident locations with a bounded error path; preserve the last valid coordinate pair.</w:t>
      </w:r>
    </w:p>
    <w:p>
      <w:pPr>
        <w:spacing w:after="80" w:line="300" w:lineRule="auto"/>
        <w:numPr>
          <w:ilvl w:val="0"/>
          <w:numId w:val="14"/>
        </w:numPr>
      </w:pPr>
      <w:r>
        <w:rPr>
          <w:rFonts w:ascii="Calibri" w:hAnsi="Calibri"/>
          <w:color w:val="111111"/>
          <w:sz w:val="22"/>
        </w:rPr>
        <w:t>Present a preflight summary showing mission code, coordinates, resource modes, object count and missing assets.</w:t>
      </w:r>
    </w:p>
    <w:p>
      <w:pPr>
        <w:spacing w:after="80" w:line="300" w:lineRule="auto"/>
        <w:numPr>
          <w:ilvl w:val="0"/>
          <w:numId w:val="14"/>
        </w:numPr>
      </w:pPr>
      <w:r>
        <w:rPr>
          <w:rFonts w:ascii="Calibri" w:hAnsi="Calibri"/>
          <w:color w:val="111111"/>
          <w:sz w:val="22"/>
        </w:rPr>
        <w:t>Persist one loader handoff snapshot, then call load_mission HEMSRandE and leave the terminal sleep forever.</w:t>
      </w:r>
    </w:p>
    <w:tbl>
      <w:tblPr>
        <w:tblStyle w:val="TableGrid"/>
        <w:tblW w:type="dxa" w:w="9360"/>
        <w:jc w:val="left"/>
        <w:tblLayout w:type="fixed"/>
        <w:tblLook w:firstColumn="1" w:firstRow="1" w:lastColumn="0" w:lastRow="0" w:noHBand="0" w:noVBand="1" w:val="04A0"/>
        <w:tblInd w:w="120" w:type="dxa"/>
      </w:tblPr>
      <w:tblGrid>
        <w:gridCol w:w="9360"/>
      </w:tblGrid>
      <w:tr>
        <w:trPr>
          <w:cantSplit/>
          <w:cantSplit/>
        </w:trPr>
        <w:tc>
          <w:tcPr>
            <w:tcW w:type="dxa" w:w="9360"/>
            <w:shd w:fill="FFF4D6"/>
            <w:tcMar>
              <w:top w:w="80" w:type="dxa"/>
              <w:bottom w:w="80" w:type="dxa"/>
              <w:start w:w="120" w:type="dxa"/>
              <w:end w:w="120" w:type="dxa"/>
            </w:tcMar>
            <w:vAlign w:val="center"/>
          </w:tcPr>
          <w:p>
            <w:pPr>
              <w:keepLines/>
              <w:spacing w:after="60"/>
            </w:pPr>
            <w:r>
              <w:rPr>
                <w:rFonts w:ascii="Calibri" w:hAnsi="Calibri"/>
                <w:b/>
                <w:color w:val="7A5A00"/>
                <w:sz w:val="22"/>
              </w:rPr>
              <w:t>Scope decision</w:t>
              <w:br/>
            </w:r>
            <w:r>
              <w:rPr>
                <w:rFonts w:ascii="Calibri" w:hAnsi="Calibri"/>
                <w:color w:val="111111"/>
                <w:sz w:val="20"/>
              </w:rPr>
              <w:t>train.json was analyzed but not modified in release 92. Its redesign should be a separate, user-reviewed compatibility change because external users may already depend on its current editable fields.</w:t>
            </w:r>
          </w:p>
        </w:tc>
      </w:tr>
    </w:tbl>
    <w:p>
      <w:pPr>
        <w:spacing w:after="40"/>
      </w:pPr>
    </w:p>
    <w:p>
      <w:pPr>
        <w:pStyle w:val="Heading1"/>
      </w:pPr>
      <w:r>
        <w:t>Simulation and operational improvement opportunities</w:t>
      </w:r>
    </w:p>
    <w:p>
      <w:pPr>
        <w:pStyle w:val="Heading2"/>
      </w:pPr>
      <w:r>
        <w:t>Clinical simulation</w:t>
      </w:r>
    </w:p>
    <w:tbl>
      <w:tblPr>
        <w:tblStyle w:val="TableGrid"/>
        <w:tblW w:type="dxa" w:w="9360"/>
        <w:jc w:val="left"/>
        <w:tblLayout w:type="fixed"/>
        <w:tblLook w:firstColumn="1" w:firstRow="1" w:lastColumn="0" w:lastRow="0" w:noHBand="0" w:noVBand="1" w:val="04A0"/>
        <w:tblInd w:w="120" w:type="dxa"/>
      </w:tblPr>
      <w:tblGrid>
        <w:gridCol w:w="2000"/>
        <w:gridCol w:w="3070"/>
        <w:gridCol w:w="4290"/>
      </w:tblGrid>
      <w:tr>
        <w:trPr>
          <w:tblHeader w:val="true"/>
          <w:cantSplit/>
          <w:cantSplit/>
        </w:trPr>
        <w:tc>
          <w:tcPr>
            <w:tcW w:type="dxa" w:w="20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Improvement</w:t>
            </w:r>
          </w:p>
        </w:tc>
        <w:tc>
          <w:tcPr>
            <w:tcW w:type="dxa" w:w="307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Simulation value</w:t>
            </w:r>
          </w:p>
        </w:tc>
        <w:tc>
          <w:tcPr>
            <w:tcW w:type="dxa" w:w="429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7"/>
              </w:rPr>
              <w:t>Implementation direction</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Structured assessment</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Moves beyond one correct/three wrong choices and teaches priorities.</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Use pathology-specific ABCDE phases, reassessment after each intervention and explicit completion/handover.</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Uncertainty model</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Avoids omniscient diagnosis and identical optimal actions.</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Expose symptoms/findings progressively; allow false-negative/ambiguous findings based on assessment quality.</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Resource-aware treatment</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Links medical decisions to kit, crew and time.</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Track consumables, intervention duration, provider role, contraindications and transport delay.</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Dynamic triage</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Supports multiple casualties without only comparing current lifescore.</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Use acuity, trend, projected delay and resource benefit; re-triage after deterioration or treatment.</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Transfer-of-care record</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Preserves realism when ambulance owns the patient and the tablet stays on the helicopter.</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Freeze last observed vitals, actions, time, provider and destination; hide live remote vitals unless a data link is explicitly simulated.</w:t>
            </w:r>
          </w:p>
        </w:tc>
      </w:tr>
      <w:tr>
        <w:trPr>
          <w:cantSplit/>
          <w:cantSplit/>
        </w:trPr>
        <w:tc>
          <w:tcPr>
            <w:tcW w:type="dxa" w:w="2000"/>
            <w:tcMar>
              <w:top w:w="80" w:type="dxa"/>
              <w:bottom w:w="80" w:type="dxa"/>
              <w:start w:w="120" w:type="dxa"/>
              <w:end w:w="120" w:type="dxa"/>
            </w:tcMar>
            <w:vAlign w:val="center"/>
          </w:tcPr>
          <w:p>
            <w:pPr>
              <w:keepLines/>
              <w:spacing w:after="0" w:line="259" w:lineRule="auto"/>
            </w:pPr>
            <w:r>
              <w:rPr>
                <w:rFonts w:ascii="Calibri" w:hAnsi="Calibri"/>
                <w:color w:val="111111"/>
                <w:sz w:val="17"/>
              </w:rPr>
              <w:t>MCI mode</w:t>
            </w:r>
          </w:p>
        </w:tc>
        <w:tc>
          <w:tcPr>
            <w:tcW w:type="dxa" w:w="3070"/>
            <w:tcMar>
              <w:top w:w="80" w:type="dxa"/>
              <w:bottom w:w="80" w:type="dxa"/>
              <w:start w:w="120" w:type="dxa"/>
              <w:end w:w="120" w:type="dxa"/>
            </w:tcMar>
            <w:vAlign w:val="center"/>
          </w:tcPr>
          <w:p>
            <w:pPr>
              <w:keepLines/>
              <w:spacing w:after="0" w:line="259" w:lineRule="auto"/>
            </w:pPr>
            <w:r>
              <w:rPr>
                <w:rFonts w:ascii="Calibri" w:hAnsi="Calibri"/>
                <w:color w:val="111111"/>
                <w:sz w:val="17"/>
              </w:rPr>
              <w:t>Distinguishes routine patient optimization from resource-limited incidents.</w:t>
            </w:r>
          </w:p>
        </w:tc>
        <w:tc>
          <w:tcPr>
            <w:tcW w:type="dxa" w:w="4290"/>
            <w:tcMar>
              <w:top w:w="80" w:type="dxa"/>
              <w:bottom w:w="80" w:type="dxa"/>
              <w:start w:w="120" w:type="dxa"/>
              <w:end w:w="120" w:type="dxa"/>
            </w:tcMar>
            <w:vAlign w:val="center"/>
          </w:tcPr>
          <w:p>
            <w:pPr>
              <w:keepLines/>
              <w:spacing w:after="0" w:line="259" w:lineRule="auto"/>
            </w:pPr>
            <w:r>
              <w:rPr>
                <w:rFonts w:ascii="Calibri" w:hAnsi="Calibri"/>
                <w:color w:val="111111"/>
                <w:sz w:val="17"/>
              </w:rPr>
              <w:t>Activate when patient demand exceeds available teams; use a standardized red/yellow/green triage layer and allocation rules.</w:t>
            </w:r>
          </w:p>
        </w:tc>
      </w:tr>
    </w:tbl>
    <w:p>
      <w:pPr>
        <w:spacing w:after="40"/>
      </w:pPr>
    </w:p>
    <w:p>
      <w:pPr>
        <w:keepNext w:val="0"/>
        <w:spacing w:before="0" w:after="120" w:line="300" w:lineRule="auto"/>
      </w:pPr>
      <w:r>
        <w:rPr>
          <w:rFonts w:ascii="Calibri" w:hAnsi="Calibri"/>
          <w:b w:val="0"/>
          <w:i/>
          <w:color w:val="1F4D78"/>
          <w:sz w:val="22"/>
        </w:rPr>
        <w:t>WHO describes triage as dynamic prioritization by urgency and, in mass-casualty conditions, allocation of limited resources to patients most likely to benefit. The WHO emergency checklists also reinforce structured reassessment and documentation. These are strong design references, but the mission should label itself as a simulation and allow regional protocol packs rather than claiming clinical authority.</w:t>
      </w:r>
    </w:p>
    <w:p>
      <w:pPr>
        <w:pStyle w:val="Heading2"/>
      </w:pPr>
      <w:r>
        <w:t>HEMS flight operations</w:t>
      </w:r>
    </w:p>
    <w:p>
      <w:pPr>
        <w:spacing w:after="80" w:line="300" w:lineRule="auto"/>
        <w:numPr>
          <w:ilvl w:val="0"/>
          <w:numId w:val="10"/>
        </w:numPr>
      </w:pPr>
      <w:r>
        <w:rPr>
          <w:rFonts w:ascii="Calibri" w:hAnsi="Calibri"/>
          <w:color w:val="111111"/>
          <w:sz w:val="22"/>
        </w:rPr>
        <w:t>Add a site-risk card: day/night, dimensions, obstacles, wires, slope, surface, lighting, wind, escape path, fire/ramp hazards and final go/no-go ownership.</w:t>
      </w:r>
    </w:p>
    <w:p>
      <w:pPr>
        <w:spacing w:after="80" w:line="300" w:lineRule="auto"/>
        <w:numPr>
          <w:ilvl w:val="0"/>
          <w:numId w:val="10"/>
        </w:numPr>
      </w:pPr>
      <w:r>
        <w:rPr>
          <w:rFonts w:ascii="Calibri" w:hAnsi="Calibri"/>
          <w:color w:val="111111"/>
          <w:sz w:val="22"/>
        </w:rPr>
        <w:t>Make reconnaissance and landing-site acceptance a crew workflow: pilot flying, pilot/technical crew monitoring, sterile phases and explicit rejected-site reasons.</w:t>
      </w:r>
    </w:p>
    <w:p>
      <w:pPr>
        <w:spacing w:after="80" w:line="300" w:lineRule="auto"/>
        <w:numPr>
          <w:ilvl w:val="0"/>
          <w:numId w:val="10"/>
        </w:numPr>
      </w:pPr>
      <w:r>
        <w:rPr>
          <w:rFonts w:ascii="Calibri" w:hAnsi="Calibri"/>
          <w:color w:val="111111"/>
          <w:sz w:val="22"/>
        </w:rPr>
        <w:t>Model operational constraints that change decisions: fuel/reserve, weather/visibility, alternate base, crew duty/end shift, hospital capability and aircraft availability.</w:t>
      </w:r>
    </w:p>
    <w:p>
      <w:pPr>
        <w:spacing w:after="80" w:line="300" w:lineRule="auto"/>
        <w:numPr>
          <w:ilvl w:val="0"/>
          <w:numId w:val="10"/>
        </w:numPr>
      </w:pPr>
      <w:r>
        <w:rPr>
          <w:rFonts w:ascii="Calibri" w:hAnsi="Calibri"/>
          <w:color w:val="111111"/>
          <w:sz w:val="22"/>
        </w:rPr>
        <w:t>Use the marshal as one sensor in the decision, not the sole landing authority. Preserve guidance hysteresis and altitude envelopes, but allow obstacle/wind/site conditions to veto the nominal path.</w:t>
      </w:r>
    </w:p>
    <w:p>
      <w:pPr>
        <w:spacing w:after="80" w:line="300" w:lineRule="auto"/>
        <w:numPr>
          <w:ilvl w:val="0"/>
          <w:numId w:val="10"/>
        </w:numPr>
      </w:pPr>
      <w:r>
        <w:rPr>
          <w:rFonts w:ascii="Calibri" w:hAnsi="Calibri"/>
          <w:color w:val="111111"/>
          <w:sz w:val="22"/>
        </w:rPr>
        <w:t>EASA HEMS rules and AMC/GM distinguish day/night site considerations and require operational training/crew procedures. Use those materials to shape configurable training scenarios, not to hard-code one operator’s SOP as universal.</w:t>
      </w:r>
    </w:p>
    <w:p>
      <w:pPr>
        <w:pStyle w:val="Heading2"/>
      </w:pPr>
      <w:r>
        <w:t>Dispatch, communications and system realism</w:t>
      </w:r>
    </w:p>
    <w:p>
      <w:pPr>
        <w:spacing w:after="80" w:line="300" w:lineRule="auto"/>
        <w:numPr>
          <w:ilvl w:val="0"/>
          <w:numId w:val="10"/>
        </w:numPr>
      </w:pPr>
      <w:r>
        <w:rPr>
          <w:rFonts w:ascii="Calibri" w:hAnsi="Calibri"/>
          <w:color w:val="111111"/>
          <w:sz w:val="22"/>
        </w:rPr>
        <w:t>Simulate data-link quality rather than a single connected flag: 5G latency/dropout, Wi-Fi range, CARLS/radio fallback and queued RescueTrack messages with one audible alert policy.</w:t>
      </w:r>
    </w:p>
    <w:p>
      <w:pPr>
        <w:spacing w:after="80" w:line="300" w:lineRule="auto"/>
        <w:numPr>
          <w:ilvl w:val="0"/>
          <w:numId w:val="10"/>
        </w:numPr>
      </w:pPr>
      <w:r>
        <w:rPr>
          <w:rFonts w:ascii="Calibri" w:hAnsi="Calibri"/>
          <w:color w:val="111111"/>
          <w:sz w:val="22"/>
        </w:rPr>
        <w:t>Introduce dispatch confidence and updates: incomplete caller report, rescue-team assessment, corrected coordinates, hazard update and destination capacity change.</w:t>
      </w:r>
    </w:p>
    <w:p>
      <w:pPr>
        <w:spacing w:after="80" w:line="300" w:lineRule="auto"/>
        <w:numPr>
          <w:ilvl w:val="0"/>
          <w:numId w:val="10"/>
        </w:numPr>
      </w:pPr>
      <w:r>
        <w:rPr>
          <w:rFonts w:ascii="Calibri" w:hAnsi="Calibri"/>
          <w:color w:val="111111"/>
          <w:sz w:val="22"/>
        </w:rPr>
        <w:t>Add a mission event timeline with timestamps for dispatch, wheels-up, scene arrival, first patient contact, intervention, departure and handover. This supports debrief and deterministic bug reports.</w:t>
      </w:r>
    </w:p>
    <w:p>
      <w:pPr>
        <w:spacing w:after="80" w:line="300" w:lineRule="auto"/>
        <w:numPr>
          <w:ilvl w:val="0"/>
          <w:numId w:val="10"/>
        </w:numPr>
      </w:pPr>
      <w:r>
        <w:rPr>
          <w:rFonts w:ascii="Calibri" w:hAnsi="Calibri"/>
          <w:color w:val="111111"/>
          <w:sz w:val="22"/>
        </w:rPr>
        <w:t>Create deterministic replay seeds for mission, public/casualty models, pathology and timing. A bug report can then reproduce the same random selections.</w:t>
      </w:r>
    </w:p>
    <w:p>
      <w:pPr>
        <w:spacing w:after="80" w:line="300" w:lineRule="auto"/>
        <w:numPr>
          <w:ilvl w:val="0"/>
          <w:numId w:val="10"/>
        </w:numPr>
      </w:pPr>
      <w:r>
        <w:rPr>
          <w:rFonts w:ascii="Calibri" w:hAnsi="Calibri"/>
          <w:color w:val="111111"/>
          <w:sz w:val="22"/>
        </w:rPr>
        <w:t>Add asset-health checks for 30West animations: verify object exists and expected VAR pose after creation; retry the intended pose or replace with a known fallback asset if the T-pose persists.</w:t>
      </w:r>
    </w:p>
    <w:p>
      <w:pPr>
        <w:pStyle w:val="Heading1"/>
      </w:pPr>
      <w:r>
        <w:t>Test strategy and release engineering</w:t>
      </w:r>
    </w:p>
    <w:p>
      <w:pPr>
        <w:pStyle w:val="Heading2"/>
      </w:pPr>
      <w:r>
        <w:t>Layered verification model</w:t>
      </w:r>
    </w:p>
    <w:tbl>
      <w:tblPr>
        <w:tblStyle w:val="TableGrid"/>
        <w:tblW w:type="dxa" w:w="9360"/>
        <w:jc w:val="left"/>
        <w:tblLayout w:type="fixed"/>
        <w:tblLook w:firstColumn="1" w:firstRow="1" w:lastColumn="0" w:lastRow="0" w:noHBand="0" w:noVBand="1" w:val="04A0"/>
        <w:tblInd w:w="120" w:type="dxa"/>
      </w:tblPr>
      <w:tblGrid>
        <w:gridCol w:w="1100"/>
        <w:gridCol w:w="3770"/>
        <w:gridCol w:w="4490"/>
      </w:tblGrid>
      <w:tr>
        <w:trPr>
          <w:tblHeader w:val="true"/>
          <w:cantSplit/>
          <w:cantSplit/>
        </w:trPr>
        <w:tc>
          <w:tcPr>
            <w:tcW w:type="dxa" w:w="11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Layer</w:t>
            </w:r>
          </w:p>
        </w:tc>
        <w:tc>
          <w:tcPr>
            <w:tcW w:type="dxa" w:w="377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Purpose</w:t>
            </w:r>
          </w:p>
        </w:tc>
        <w:tc>
          <w:tcPr>
            <w:tcW w:type="dxa" w:w="449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Required evidence</w:t>
            </w:r>
          </w:p>
        </w:tc>
      </w:tr>
      <w:tr>
        <w:trPr>
          <w:cantSplit/>
          <w:cantSplit/>
        </w:trPr>
        <w:tc>
          <w:tcPr>
            <w:tcW w:type="dxa" w:w="1100"/>
            <w:tcMar>
              <w:top w:w="80" w:type="dxa"/>
              <w:bottom w:w="80" w:type="dxa"/>
              <w:start w:w="120" w:type="dxa"/>
              <w:end w:w="120" w:type="dxa"/>
            </w:tcMar>
            <w:vAlign w:val="center"/>
          </w:tcPr>
          <w:p>
            <w:pPr>
              <w:keepLines/>
              <w:spacing w:after="0" w:line="259" w:lineRule="auto"/>
            </w:pPr>
            <w:r>
              <w:rPr>
                <w:rFonts w:ascii="Calibri" w:hAnsi="Calibri"/>
                <w:color w:val="111111"/>
                <w:sz w:val="18"/>
              </w:rPr>
              <w:t>L0 Parse</w:t>
            </w:r>
          </w:p>
        </w:tc>
        <w:tc>
          <w:tcPr>
            <w:tcW w:type="dxa" w:w="3770"/>
            <w:tcMar>
              <w:top w:w="80" w:type="dxa"/>
              <w:bottom w:w="80" w:type="dxa"/>
              <w:start w:w="120" w:type="dxa"/>
              <w:end w:w="120" w:type="dxa"/>
            </w:tcMar>
            <w:vAlign w:val="center"/>
          </w:tcPr>
          <w:p>
            <w:pPr>
              <w:keepLines/>
              <w:spacing w:after="0" w:line="259" w:lineRule="auto"/>
            </w:pPr>
            <w:r>
              <w:rPr>
                <w:rFonts w:ascii="Calibri" w:hAnsi="Calibri"/>
                <w:color w:val="111111"/>
                <w:sz w:val="18"/>
              </w:rPr>
              <w:t>Reject malformed JSON and missing companion/global files.</w:t>
            </w:r>
          </w:p>
        </w:tc>
        <w:tc>
          <w:tcPr>
            <w:tcW w:type="dxa" w:w="4490"/>
            <w:tcMar>
              <w:top w:w="80" w:type="dxa"/>
              <w:bottom w:w="80" w:type="dxa"/>
              <w:start w:w="120" w:type="dxa"/>
              <w:end w:w="120" w:type="dxa"/>
            </w:tcMar>
            <w:vAlign w:val="center"/>
          </w:tcPr>
          <w:p>
            <w:pPr>
              <w:keepLines/>
              <w:spacing w:after="0" w:line="259" w:lineRule="auto"/>
            </w:pPr>
            <w:r>
              <w:rPr>
                <w:rFonts w:ascii="Calibri" w:hAnsi="Calibri"/>
                <w:color w:val="111111"/>
                <w:sz w:val="18"/>
              </w:rPr>
              <w:t>Parser PASS in CI and locally.</w:t>
            </w:r>
          </w:p>
        </w:tc>
      </w:tr>
      <w:tr>
        <w:trPr>
          <w:cantSplit/>
          <w:cantSplit/>
        </w:trPr>
        <w:tc>
          <w:tcPr>
            <w:tcW w:type="dxa" w:w="1100"/>
            <w:tcMar>
              <w:top w:w="80" w:type="dxa"/>
              <w:bottom w:w="80" w:type="dxa"/>
              <w:start w:w="120" w:type="dxa"/>
              <w:end w:w="120" w:type="dxa"/>
            </w:tcMar>
            <w:vAlign w:val="center"/>
          </w:tcPr>
          <w:p>
            <w:pPr>
              <w:keepLines/>
              <w:spacing w:after="0" w:line="259" w:lineRule="auto"/>
            </w:pPr>
            <w:r>
              <w:rPr>
                <w:rFonts w:ascii="Calibri" w:hAnsi="Calibri"/>
                <w:color w:val="111111"/>
                <w:sz w:val="18"/>
              </w:rPr>
              <w:t>L1 Structural</w:t>
            </w:r>
          </w:p>
        </w:tc>
        <w:tc>
          <w:tcPr>
            <w:tcW w:type="dxa" w:w="3770"/>
            <w:tcMar>
              <w:top w:w="80" w:type="dxa"/>
              <w:bottom w:w="80" w:type="dxa"/>
              <w:start w:w="120" w:type="dxa"/>
              <w:end w:w="120" w:type="dxa"/>
            </w:tcMar>
            <w:vAlign w:val="center"/>
          </w:tcPr>
          <w:p>
            <w:pPr>
              <w:keepLines/>
              <w:spacing w:after="0" w:line="259" w:lineRule="auto"/>
            </w:pPr>
            <w:r>
              <w:rPr>
                <w:rFonts w:ascii="Calibri" w:hAnsi="Calibri"/>
                <w:color w:val="111111"/>
                <w:sz w:val="18"/>
              </w:rPr>
              <w:t>Operators, logical groups, macros, icons, CARLS, checklists, state contracts and command spelling.</w:t>
            </w:r>
          </w:p>
        </w:tc>
        <w:tc>
          <w:tcPr>
            <w:tcW w:type="dxa" w:w="4490"/>
            <w:tcMar>
              <w:top w:w="80" w:type="dxa"/>
              <w:bottom w:w="80" w:type="dxa"/>
              <w:start w:w="120" w:type="dxa"/>
              <w:end w:w="120" w:type="dxa"/>
            </w:tcMar>
            <w:vAlign w:val="center"/>
          </w:tcPr>
          <w:p>
            <w:pPr>
              <w:keepLines/>
              <w:spacing w:after="0" w:line="259" w:lineRule="auto"/>
            </w:pPr>
            <w:r>
              <w:rPr>
                <w:rFonts w:ascii="Calibri" w:hAnsi="Calibri"/>
                <w:color w:val="111111"/>
                <w:sz w:val="18"/>
              </w:rPr>
              <w:t>tools/validate-mission.js PASS.</w:t>
            </w:r>
          </w:p>
        </w:tc>
      </w:tr>
      <w:tr>
        <w:trPr>
          <w:cantSplit/>
          <w:cantSplit/>
        </w:trPr>
        <w:tc>
          <w:tcPr>
            <w:tcW w:type="dxa" w:w="1100"/>
            <w:tcMar>
              <w:top w:w="80" w:type="dxa"/>
              <w:bottom w:w="80" w:type="dxa"/>
              <w:start w:w="120" w:type="dxa"/>
              <w:end w:w="120" w:type="dxa"/>
            </w:tcMar>
            <w:vAlign w:val="center"/>
          </w:tcPr>
          <w:p>
            <w:pPr>
              <w:keepLines/>
              <w:spacing w:after="0" w:line="259" w:lineRule="auto"/>
            </w:pPr>
            <w:r>
              <w:rPr>
                <w:rFonts w:ascii="Calibri" w:hAnsi="Calibri"/>
                <w:color w:val="111111"/>
                <w:sz w:val="18"/>
              </w:rPr>
              <w:t>L2 Model tests</w:t>
            </w:r>
          </w:p>
        </w:tc>
        <w:tc>
          <w:tcPr>
            <w:tcW w:type="dxa" w:w="3770"/>
            <w:tcMar>
              <w:top w:w="80" w:type="dxa"/>
              <w:bottom w:w="80" w:type="dxa"/>
              <w:start w:w="120" w:type="dxa"/>
              <w:end w:w="120" w:type="dxa"/>
            </w:tcMar>
            <w:vAlign w:val="center"/>
          </w:tcPr>
          <w:p>
            <w:pPr>
              <w:keepLines/>
              <w:spacing w:after="0" w:line="259" w:lineRule="auto"/>
            </w:pPr>
            <w:r>
              <w:rPr>
                <w:rFonts w:ascii="Calibri" w:hAnsi="Calibri"/>
                <w:color w:val="111111"/>
                <w:sz w:val="18"/>
              </w:rPr>
              <w:t>Pure state-machine simulations for DF digits, presets, patient ownership, ETA and route watchdogs.</w:t>
            </w:r>
          </w:p>
        </w:tc>
        <w:tc>
          <w:tcPr>
            <w:tcW w:type="dxa" w:w="4490"/>
            <w:tcMar>
              <w:top w:w="80" w:type="dxa"/>
              <w:bottom w:w="80" w:type="dxa"/>
              <w:start w:w="120" w:type="dxa"/>
              <w:end w:w="120" w:type="dxa"/>
            </w:tcMar>
            <w:vAlign w:val="center"/>
          </w:tcPr>
          <w:p>
            <w:pPr>
              <w:keepLines/>
              <w:spacing w:after="0" w:line="259" w:lineRule="auto"/>
            </w:pPr>
            <w:r>
              <w:rPr>
                <w:rFonts w:ascii="Calibri" w:hAnsi="Calibri"/>
                <w:color w:val="111111"/>
                <w:sz w:val="18"/>
              </w:rPr>
              <w:t>Boundary vectors and property-based cases.</w:t>
            </w:r>
          </w:p>
        </w:tc>
      </w:tr>
      <w:tr>
        <w:trPr>
          <w:cantSplit/>
          <w:cantSplit/>
        </w:trPr>
        <w:tc>
          <w:tcPr>
            <w:tcW w:type="dxa" w:w="1100"/>
            <w:tcMar>
              <w:top w:w="80" w:type="dxa"/>
              <w:bottom w:w="80" w:type="dxa"/>
              <w:start w:w="120" w:type="dxa"/>
              <w:end w:w="120" w:type="dxa"/>
            </w:tcMar>
            <w:vAlign w:val="center"/>
          </w:tcPr>
          <w:p>
            <w:pPr>
              <w:keepLines/>
              <w:spacing w:after="0" w:line="259" w:lineRule="auto"/>
            </w:pPr>
            <w:r>
              <w:rPr>
                <w:rFonts w:ascii="Calibri" w:hAnsi="Calibri"/>
                <w:color w:val="111111"/>
                <w:sz w:val="18"/>
              </w:rPr>
              <w:t>L3 HPG/HOC</w:t>
            </w:r>
          </w:p>
        </w:tc>
        <w:tc>
          <w:tcPr>
            <w:tcW w:type="dxa" w:w="3770"/>
            <w:tcMar>
              <w:top w:w="80" w:type="dxa"/>
              <w:bottom w:w="80" w:type="dxa"/>
              <w:start w:w="120" w:type="dxa"/>
              <w:end w:w="120" w:type="dxa"/>
            </w:tcMar>
            <w:vAlign w:val="center"/>
          </w:tcPr>
          <w:p>
            <w:pPr>
              <w:keepLines/>
              <w:spacing w:after="0" w:line="259" w:lineRule="auto"/>
            </w:pPr>
            <w:r>
              <w:rPr>
                <w:rFonts w:ascii="Calibri" w:hAnsi="Calibri"/>
                <w:color w:val="111111"/>
                <w:sz w:val="18"/>
              </w:rPr>
              <w:t>Load/render commands, table persistence, dynamic widgets and object/location APIs.</w:t>
            </w:r>
          </w:p>
        </w:tc>
        <w:tc>
          <w:tcPr>
            <w:tcW w:type="dxa" w:w="4490"/>
            <w:tcMar>
              <w:top w:w="80" w:type="dxa"/>
              <w:bottom w:w="80" w:type="dxa"/>
              <w:start w:w="120" w:type="dxa"/>
              <w:end w:w="120" w:type="dxa"/>
            </w:tcMar>
            <w:vAlign w:val="center"/>
          </w:tcPr>
          <w:p>
            <w:pPr>
              <w:keepLines/>
              <w:spacing w:after="0" w:line="259" w:lineRule="auto"/>
            </w:pPr>
            <w:r>
              <w:rPr>
                <w:rFonts w:ascii="Calibri" w:hAnsi="Calibri"/>
                <w:color w:val="111111"/>
                <w:sz w:val="18"/>
              </w:rPr>
              <w:t>Scenario Developer smoke results with screenshots/log.</w:t>
            </w:r>
          </w:p>
        </w:tc>
      </w:tr>
      <w:tr>
        <w:trPr>
          <w:cantSplit/>
          <w:cantSplit/>
        </w:trPr>
        <w:tc>
          <w:tcPr>
            <w:tcW w:type="dxa" w:w="1100"/>
            <w:tcMar>
              <w:top w:w="80" w:type="dxa"/>
              <w:bottom w:w="80" w:type="dxa"/>
              <w:start w:w="120" w:type="dxa"/>
              <w:end w:w="120" w:type="dxa"/>
            </w:tcMar>
            <w:vAlign w:val="center"/>
          </w:tcPr>
          <w:p>
            <w:pPr>
              <w:keepLines/>
              <w:spacing w:after="0" w:line="259" w:lineRule="auto"/>
            </w:pPr>
            <w:r>
              <w:rPr>
                <w:rFonts w:ascii="Calibri" w:hAnsi="Calibri"/>
                <w:color w:val="111111"/>
                <w:sz w:val="18"/>
              </w:rPr>
              <w:t>L4 MSFS</w:t>
            </w:r>
          </w:p>
        </w:tc>
        <w:tc>
          <w:tcPr>
            <w:tcW w:type="dxa" w:w="3770"/>
            <w:tcMar>
              <w:top w:w="80" w:type="dxa"/>
              <w:bottom w:w="80" w:type="dxa"/>
              <w:start w:w="120" w:type="dxa"/>
              <w:end w:w="120" w:type="dxa"/>
            </w:tcMar>
            <w:vAlign w:val="center"/>
          </w:tcPr>
          <w:p>
            <w:pPr>
              <w:keepLines/>
              <w:spacing w:after="0" w:line="259" w:lineRule="auto"/>
            </w:pPr>
            <w:r>
              <w:rPr>
                <w:rFonts w:ascii="Calibri" w:hAnsi="Calibri"/>
                <w:color w:val="111111"/>
                <w:sz w:val="18"/>
              </w:rPr>
              <w:t>Aircraft LVARs, animations, audio, AI movement, timing, reload and performance.</w:t>
            </w:r>
          </w:p>
        </w:tc>
        <w:tc>
          <w:tcPr>
            <w:tcW w:type="dxa" w:w="4490"/>
            <w:tcMar>
              <w:top w:w="80" w:type="dxa"/>
              <w:bottom w:w="80" w:type="dxa"/>
              <w:start w:w="120" w:type="dxa"/>
              <w:end w:w="120" w:type="dxa"/>
            </w:tcMar>
            <w:vAlign w:val="center"/>
          </w:tcPr>
          <w:p>
            <w:pPr>
              <w:keepLines/>
              <w:spacing w:after="0" w:line="259" w:lineRule="auto"/>
            </w:pPr>
            <w:r>
              <w:rPr>
                <w:rFonts w:ascii="Calibri" w:hAnsi="Calibri"/>
                <w:color w:val="111111"/>
                <w:sz w:val="18"/>
              </w:rPr>
              <w:t>Recorded matrix by aircraft build, crew count and mission branch.</w:t>
            </w:r>
          </w:p>
        </w:tc>
      </w:tr>
    </w:tbl>
    <w:p>
      <w:pPr>
        <w:spacing w:after="40"/>
      </w:pPr>
    </w:p>
    <w:p>
      <w:pPr>
        <w:pStyle w:val="Heading2"/>
      </w:pPr>
      <w:r>
        <w:t>Recommended automated additions</w:t>
      </w:r>
    </w:p>
    <w:p>
      <w:pPr>
        <w:spacing w:after="80" w:line="300" w:lineRule="auto"/>
        <w:numPr>
          <w:ilvl w:val="0"/>
          <w:numId w:val="10"/>
        </w:numPr>
      </w:pPr>
      <w:r>
        <w:rPr>
          <w:rFonts w:ascii="Calibri" w:hAnsi="Calibri"/>
          <w:color w:val="111111"/>
          <w:sz w:val="22"/>
        </w:rPr>
        <w:t>A known-command dictionary sourced from HPG docs, with an allow-list for data/query keys; the release-92 create_location spelling guard is the first targeted rule.</w:t>
      </w:r>
    </w:p>
    <w:p>
      <w:pPr>
        <w:spacing w:after="80" w:line="300" w:lineRule="auto"/>
        <w:numPr>
          <w:ilvl w:val="0"/>
          <w:numId w:val="10"/>
        </w:numPr>
      </w:pPr>
      <w:r>
        <w:rPr>
          <w:rFonts w:ascii="Calibri" w:hAnsi="Calibri"/>
          <w:color w:val="111111"/>
          <w:sz w:val="22"/>
        </w:rPr>
        <w:t>Materialize create_struct mission-list rows and validate every emitted show/select/disabled condition.</w:t>
      </w:r>
    </w:p>
    <w:p>
      <w:pPr>
        <w:spacing w:after="80" w:line="300" w:lineRule="auto"/>
        <w:numPr>
          <w:ilvl w:val="0"/>
          <w:numId w:val="10"/>
        </w:numPr>
      </w:pPr>
      <w:r>
        <w:rPr>
          <w:rFonts w:ascii="Calibri" w:hAnsi="Calibri"/>
          <w:color w:val="111111"/>
          <w:sz w:val="22"/>
        </w:rPr>
        <w:t>Property-based DF input tests across supported bands, every 25 kHz ending and invalid prefix transitions.</w:t>
      </w:r>
    </w:p>
    <w:p>
      <w:pPr>
        <w:spacing w:after="80" w:line="300" w:lineRule="auto"/>
        <w:numPr>
          <w:ilvl w:val="0"/>
          <w:numId w:val="10"/>
        </w:numPr>
      </w:pPr>
      <w:r>
        <w:rPr>
          <w:rFonts w:ascii="Calibri" w:hAnsi="Calibri"/>
          <w:color w:val="111111"/>
          <w:sz w:val="22"/>
        </w:rPr>
        <w:t>A preset state-machine test that edits two profiles, switches both pages, flushes exactly once and reloads the same table values.</w:t>
      </w:r>
    </w:p>
    <w:p>
      <w:pPr>
        <w:spacing w:after="80" w:line="300" w:lineRule="auto"/>
        <w:numPr>
          <w:ilvl w:val="0"/>
          <w:numId w:val="10"/>
        </w:numPr>
      </w:pPr>
      <w:r>
        <w:rPr>
          <w:rFonts w:ascii="Calibri" w:hAnsi="Calibri"/>
          <w:color w:val="111111"/>
          <w:sz w:val="22"/>
        </w:rPr>
        <w:t>A patient/resource allocator model test with P1–P5, death, CPR lease, timeout release, ambulance/HEMS reservations and transfer-of-care completion.</w:t>
      </w:r>
    </w:p>
    <w:p>
      <w:pPr>
        <w:spacing w:after="80" w:line="300" w:lineRule="auto"/>
        <w:numPr>
          <w:ilvl w:val="0"/>
          <w:numId w:val="10"/>
        </w:numPr>
      </w:pPr>
      <w:r>
        <w:rPr>
          <w:rFonts w:ascii="Calibri" w:hAnsi="Calibri"/>
          <w:color w:val="111111"/>
          <w:sz w:val="22"/>
        </w:rPr>
        <w:t>A unique-object analyzer that groups create/destroy by subsystem and flags unguarded repeated names within reachable concurrent owners.</w:t>
      </w:r>
    </w:p>
    <w:p>
      <w:pPr>
        <w:spacing w:after="80" w:line="300" w:lineRule="auto"/>
        <w:numPr>
          <w:ilvl w:val="0"/>
          <w:numId w:val="10"/>
        </w:numPr>
      </w:pPr>
      <w:r>
        <w:rPr>
          <w:rFonts w:ascii="Calibri" w:hAnsi="Calibri"/>
          <w:color w:val="111111"/>
          <w:sz w:val="22"/>
        </w:rPr>
        <w:t>Performance budgets: scene-loading milestone durations, query retries, active thread count and tablet render item counts.</w:t>
      </w:r>
    </w:p>
    <w:p>
      <w:pPr>
        <w:pStyle w:val="Heading2"/>
      </w:pPr>
      <w:r>
        <w:t>Debug and retrieval strategy</w:t>
      </w:r>
    </w:p>
    <w:p>
      <w:pPr>
        <w:keepNext w:val="0"/>
        <w:spacing w:before="0" w:after="120" w:line="300" w:lineRule="auto"/>
      </w:pPr>
      <w:r>
        <w:rPr>
          <w:rFonts w:ascii="Calibri" w:hAnsi="Calibri"/>
          <w:b w:val="0"/>
          <w:i w:val="0"/>
          <w:color w:val="111111"/>
          <w:sz w:val="22"/>
        </w:rPr>
        <w:t>HPG debug_write sends text to console.log, while HPG tables provide explicit disk persistence when save_table is called. For field users, the table-based snapshot is therefore the reliable retrieval primitive. The next step should be a bounded ring buffer plus a COPY REPORT UI or a documented table location/export workflow; console logging remains useful for developer-attached sessions.</w:t>
      </w:r>
    </w:p>
    <w:p>
      <w:pPr>
        <w:pStyle w:val="Heading1"/>
      </w:pPr>
      <w:r>
        <w:t>Prioritized roadmap</w:t>
      </w:r>
    </w:p>
    <w:tbl>
      <w:tblPr>
        <w:tblStyle w:val="TableGrid"/>
        <w:tblW w:type="dxa" w:w="9360"/>
        <w:jc w:val="left"/>
        <w:tblLayout w:type="fixed"/>
        <w:tblLook w:firstColumn="1" w:firstRow="1" w:lastColumn="0" w:lastRow="0" w:noHBand="0" w:noVBand="1" w:val="04A0"/>
        <w:tblInd w:w="120" w:type="dxa"/>
      </w:tblPr>
      <w:tblGrid>
        <w:gridCol w:w="1150"/>
        <w:gridCol w:w="5050"/>
        <w:gridCol w:w="3160"/>
      </w:tblGrid>
      <w:tr>
        <w:trPr>
          <w:tblHeader w:val="true"/>
          <w:cantSplit/>
          <w:cantSplit/>
        </w:trPr>
        <w:tc>
          <w:tcPr>
            <w:tcW w:type="dxa" w:w="11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Priority</w:t>
            </w:r>
          </w:p>
        </w:tc>
        <w:tc>
          <w:tcPr>
            <w:tcW w:type="dxa" w:w="50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Work package</w:t>
            </w:r>
          </w:p>
        </w:tc>
        <w:tc>
          <w:tcPr>
            <w:tcW w:type="dxa" w:w="316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Exit criteria</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P0 — before public 92</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Execute Debug/snapshot, fishing-scene, preset, medical, ambulance, DF, checklist, 5G/Wi-Fi and marshal smoke/regression matrix.</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No Command Failed; snapshot survives reload; screenshots/log attached to release record.</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P1</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Refactor patient registry and resource allocator for five slots; introduce CPR lease and transfer state enums.</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P1–P5 model tests pass; physical adapters remain static; no copied treatment core.</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P1</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Publish custom loader contract v2 and replace train.json with a minimal, validated example after user review.</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No copied accident catalog; invalid coordinates blocked; compatibility version enforced.</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P1</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Subsystem ownership for objects/threads plus generation tokens and critical watchdog policy.</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Repeated dispatch/reload cannot reuse stale object/thread ownership.</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P2</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Debug ring buffer, automatic fault snapshots and deterministic replay seed.</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Last N incidents are retrievable with mission/build/seed and critical state.</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P2</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Clinical protocol packs, dynamic triage/reassessment and structured handover timeline.</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Scenario authors can configure without editing core macros; records remain patient-specific.</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P2</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Operational site-risk and CRM workflow with day/night/weather/obstacle inputs.</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Training outcomes and rejection reasons are recorded in debrief.</w:t>
            </w:r>
          </w:p>
        </w:tc>
      </w:tr>
      <w:tr>
        <w:trPr>
          <w:cantSplit/>
          <w:cantSplit/>
        </w:trPr>
        <w:tc>
          <w:tcPr>
            <w:tcW w:type="dxa" w:w="1150"/>
            <w:tcMar>
              <w:top w:w="80" w:type="dxa"/>
              <w:bottom w:w="80" w:type="dxa"/>
              <w:start w:w="120" w:type="dxa"/>
              <w:end w:w="120" w:type="dxa"/>
            </w:tcMar>
            <w:vAlign w:val="center"/>
          </w:tcPr>
          <w:p>
            <w:pPr>
              <w:keepLines/>
              <w:spacing w:after="0" w:line="259" w:lineRule="auto"/>
            </w:pPr>
            <w:r>
              <w:rPr>
                <w:rFonts w:ascii="Calibri" w:hAnsi="Calibri"/>
                <w:color w:val="111111"/>
                <w:sz w:val="16"/>
              </w:rPr>
              <w:t>P3</w:t>
            </w:r>
          </w:p>
        </w:tc>
        <w:tc>
          <w:tcPr>
            <w:tcW w:type="dxa" w:w="5050"/>
            <w:tcMar>
              <w:top w:w="80" w:type="dxa"/>
              <w:bottom w:w="80" w:type="dxa"/>
              <w:start w:w="120" w:type="dxa"/>
              <w:end w:w="120" w:type="dxa"/>
            </w:tcMar>
            <w:vAlign w:val="center"/>
          </w:tcPr>
          <w:p>
            <w:pPr>
              <w:keepLines/>
              <w:spacing w:after="0" w:line="259" w:lineRule="auto"/>
            </w:pPr>
            <w:r>
              <w:rPr>
                <w:rFonts w:ascii="Calibri" w:hAnsi="Calibri"/>
                <w:color w:val="111111"/>
                <w:sz w:val="16"/>
              </w:rPr>
              <w:t>Localization/content cleanup, state dictionary and generated reference docs.</w:t>
            </w:r>
          </w:p>
        </w:tc>
        <w:tc>
          <w:tcPr>
            <w:tcW w:type="dxa" w:w="3160"/>
            <w:tcMar>
              <w:top w:w="80" w:type="dxa"/>
              <w:bottom w:w="80" w:type="dxa"/>
              <w:start w:w="120" w:type="dxa"/>
              <w:end w:w="120" w:type="dxa"/>
            </w:tcMar>
            <w:vAlign w:val="center"/>
          </w:tcPr>
          <w:p>
            <w:pPr>
              <w:keepLines/>
              <w:spacing w:after="0" w:line="259" w:lineRule="auto"/>
            </w:pPr>
            <w:r>
              <w:rPr>
                <w:rFonts w:ascii="Calibri" w:hAnsi="Calibri"/>
                <w:color w:val="111111"/>
                <w:sz w:val="16"/>
              </w:rPr>
              <w:t>No undocumented new local/global/LVAR; terminology consistent across UI/debug/docs.</w:t>
            </w:r>
          </w:p>
        </w:tc>
      </w:tr>
    </w:tbl>
    <w:p>
      <w:pPr>
        <w:spacing w:after="40"/>
      </w:pPr>
    </w:p>
    <w:p>
      <w:pPr>
        <w:pStyle w:val="Heading1"/>
      </w:pPr>
      <w:r>
        <w:t>Appendix A — Runtime verification matrix</w:t>
      </w:r>
    </w:p>
    <w:tbl>
      <w:tblPr>
        <w:tblStyle w:val="TableGrid"/>
        <w:tblW w:type="dxa" w:w="9360"/>
        <w:jc w:val="left"/>
        <w:tblLayout w:type="fixed"/>
        <w:tblLook w:firstColumn="1" w:firstRow="1" w:lastColumn="0" w:lastRow="0" w:noHBand="0" w:noVBand="1" w:val="04A0"/>
        <w:tblInd w:w="120" w:type="dxa"/>
      </w:tblPr>
      <w:tblGrid>
        <w:gridCol w:w="1700"/>
        <w:gridCol w:w="3050"/>
        <w:gridCol w:w="4610"/>
      </w:tblGrid>
      <w:tr>
        <w:trPr>
          <w:tblHeader w:val="true"/>
          <w:cantSplit/>
          <w:cantSplit/>
        </w:trPr>
        <w:tc>
          <w:tcPr>
            <w:tcW w:type="dxa" w:w="17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Scenario</w:t>
            </w:r>
          </w:p>
        </w:tc>
        <w:tc>
          <w:tcPr>
            <w:tcW w:type="dxa" w:w="305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Variants</w:t>
            </w:r>
          </w:p>
        </w:tc>
        <w:tc>
          <w:tcPr>
            <w:tcW w:type="dxa" w:w="461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6"/>
              </w:rPr>
              <w:t>Pass criteria</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Debug Center</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All six views; active/no dispatch; irrelevant resources</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No undefined/null UI noise; expected rows hide/show; Inventory remains complete.</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Snapshot</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Capture, reload mission, second dispatch, clear</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Saved record persists until clear; current and saved values remain distinct.</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Fishing scene</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Force Query random fishing branch and polygon-offset path</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RUP and dependent locations create; no unknown-command failure.</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Presets</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Two profiles, both pages, single/group/ALL toggles</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Correct table retained; dirty flush occurs on switch/exit; no reset.</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Medical</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AUTO/MANUAL; 1–3 patients; completion/death</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Page follows active patient; actions only for owner; mutex releases.</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Ambulance</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near/far; 3/4/5 crew; ambulance/ambudoc/us</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Ambulance independent from HEMS; ambudoc only waits for doctor; hospital reached.</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DF</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AUTO/MANUAL; IAD/MAD/MAR; valid/invalid boundaries</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No Command Failed; legal grid only; correct modulation and persistence.</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Marshal</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marshall/pisteur3/manual/base; restart/idle/quick action</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Centre cone neutral; altitude profile; departure always arms; object restored at base.</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5G/Wi-Fi</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5G yes/no; briefing/dispatch/homebar</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Wi-Fi hidden under 5G; 5G icon/status correct; message cleanup works.</w:t>
            </w:r>
          </w:p>
        </w:tc>
      </w:tr>
      <w:tr>
        <w:trPr>
          <w:cantSplit/>
          <w:cantSplit/>
        </w:trPr>
        <w:tc>
          <w:tcPr>
            <w:tcW w:type="dxa" w:w="1700"/>
            <w:tcMar>
              <w:top w:w="80" w:type="dxa"/>
              <w:bottom w:w="80" w:type="dxa"/>
              <w:start w:w="120" w:type="dxa"/>
              <w:end w:w="120" w:type="dxa"/>
            </w:tcMar>
            <w:vAlign w:val="center"/>
          </w:tcPr>
          <w:p>
            <w:pPr>
              <w:keepLines/>
              <w:spacing w:after="0" w:line="259" w:lineRule="auto"/>
            </w:pPr>
            <w:r>
              <w:rPr>
                <w:rFonts w:ascii="Calibri" w:hAnsi="Calibri"/>
                <w:color w:val="111111"/>
                <w:sz w:val="16"/>
              </w:rPr>
              <w:t>Reload</w:t>
            </w:r>
          </w:p>
        </w:tc>
        <w:tc>
          <w:tcPr>
            <w:tcW w:type="dxa" w:w="3050"/>
            <w:tcMar>
              <w:top w:w="80" w:type="dxa"/>
              <w:bottom w:w="80" w:type="dxa"/>
              <w:start w:w="120" w:type="dxa"/>
              <w:end w:w="120" w:type="dxa"/>
            </w:tcMar>
            <w:vAlign w:val="center"/>
          </w:tcPr>
          <w:p>
            <w:pPr>
              <w:keepLines/>
              <w:spacing w:after="0" w:line="259" w:lineRule="auto"/>
            </w:pPr>
            <w:r>
              <w:rPr>
                <w:rFonts w:ascii="Calibri" w:hAnsi="Calibri"/>
                <w:color w:val="111111"/>
                <w:sz w:val="16"/>
              </w:rPr>
              <w:t>return-to-base second dispatch and saved base marshal</w:t>
            </w:r>
          </w:p>
        </w:tc>
        <w:tc>
          <w:tcPr>
            <w:tcW w:type="dxa" w:w="4610"/>
            <w:tcMar>
              <w:top w:w="80" w:type="dxa"/>
              <w:bottom w:w="80" w:type="dxa"/>
              <w:start w:w="120" w:type="dxa"/>
              <w:end w:w="120" w:type="dxa"/>
            </w:tcMar>
            <w:vAlign w:val="center"/>
          </w:tcPr>
          <w:p>
            <w:pPr>
              <w:keepLines/>
              <w:spacing w:after="0" w:line="259" w:lineRule="auto"/>
            </w:pPr>
            <w:r>
              <w:rPr>
                <w:rFonts w:ascii="Calibri" w:hAnsi="Calibri"/>
                <w:color w:val="111111"/>
                <w:sz w:val="16"/>
              </w:rPr>
              <w:t>No stale locals/LVAR mismatch; objects and positions recover as designed.</w:t>
            </w:r>
          </w:p>
        </w:tc>
      </w:tr>
    </w:tbl>
    <w:p>
      <w:pPr>
        <w:spacing w:after="40"/>
      </w:pPr>
    </w:p>
    <w:p>
      <w:pPr>
        <w:pStyle w:val="Heading1"/>
      </w:pPr>
      <w:r>
        <w:t>Appendix B — Macro hotspots</w:t>
      </w:r>
    </w:p>
    <w:tbl>
      <w:tblPr>
        <w:tblStyle w:val="TableGrid"/>
        <w:tblW w:type="dxa" w:w="9360"/>
        <w:jc w:val="left"/>
        <w:tblLayout w:type="fixed"/>
        <w:tblLook w:firstColumn="1" w:firstRow="1" w:lastColumn="0" w:lastRow="0" w:noHBand="0" w:noVBand="1" w:val="04A0"/>
        <w:tblInd w:w="120" w:type="dxa"/>
      </w:tblPr>
      <w:tblGrid>
        <w:gridCol w:w="3200"/>
        <w:gridCol w:w="1600"/>
        <w:gridCol w:w="4560"/>
      </w:tblGrid>
      <w:tr>
        <w:trPr>
          <w:tblHeader w:val="true"/>
          <w:cantSplit/>
          <w:cantSplit/>
        </w:trPr>
        <w:tc>
          <w:tcPr>
            <w:tcW w:type="dxa" w:w="32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Macro</w:t>
            </w:r>
          </w:p>
        </w:tc>
        <w:tc>
          <w:tcPr>
            <w:tcW w:type="dxa" w:w="160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Serialized size</w:t>
            </w:r>
          </w:p>
        </w:tc>
        <w:tc>
          <w:tcPr>
            <w:tcW w:type="dxa" w:w="4560"/>
            <w:shd w:fill="E8EEF5"/>
            <w:tcMar>
              <w:top w:w="80" w:type="dxa"/>
              <w:bottom w:w="80" w:type="dxa"/>
              <w:start w:w="120" w:type="dxa"/>
              <w:end w:w="120" w:type="dxa"/>
            </w:tcMar>
            <w:vAlign w:val="center"/>
          </w:tcPr>
          <w:p>
            <w:pPr>
              <w:keepNext/>
              <w:keepLines/>
              <w:spacing w:after="0" w:line="240" w:lineRule="auto"/>
            </w:pPr>
            <w:r>
              <w:rPr>
                <w:rFonts w:ascii="Calibri" w:hAnsi="Calibri"/>
                <w:b/>
                <w:color w:val="0B2545"/>
                <w:sz w:val="18"/>
              </w:rPr>
              <w:t>Review note</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patient health</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159.1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High-change surface; split or generate repeated structures.</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debug page</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109.6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High-change surface; split or generate repeated structures.</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objective1</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58.3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High-change surface; split or generate repeated structures.</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settings</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58.3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High-change surface; split or generate repeated structures.</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3 crew ground ops</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47.8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marshaller animation monitor</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47.7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4 or 5 crew ground ops</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47.5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Mission dispatch</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40.4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submit report</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40.0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r>
        <w:trPr>
          <w:cantSplit/>
          <w:cantSplit/>
        </w:trPr>
        <w:tc>
          <w:tcPr>
            <w:tcW w:type="dxa" w:w="3200"/>
            <w:tcMar>
              <w:top w:w="80" w:type="dxa"/>
              <w:bottom w:w="80" w:type="dxa"/>
              <w:start w:w="120" w:type="dxa"/>
              <w:end w:w="120" w:type="dxa"/>
            </w:tcMar>
            <w:vAlign w:val="center"/>
          </w:tcPr>
          <w:p>
            <w:pPr>
              <w:keepLines/>
              <w:spacing w:after="0" w:line="259" w:lineRule="auto"/>
            </w:pPr>
            <w:r>
              <w:rPr>
                <w:rFonts w:ascii="Calibri" w:hAnsi="Calibri"/>
                <w:color w:val="111111"/>
                <w:sz w:val="18"/>
              </w:rPr>
              <w:t>CARLS DF render</w:t>
            </w:r>
          </w:p>
        </w:tc>
        <w:tc>
          <w:tcPr>
            <w:tcW w:type="dxa" w:w="1600"/>
            <w:tcMar>
              <w:top w:w="80" w:type="dxa"/>
              <w:bottom w:w="80" w:type="dxa"/>
              <w:start w:w="120" w:type="dxa"/>
              <w:end w:w="120" w:type="dxa"/>
            </w:tcMar>
            <w:vAlign w:val="center"/>
          </w:tcPr>
          <w:p>
            <w:pPr>
              <w:keepLines/>
              <w:spacing w:after="0" w:line="259" w:lineRule="auto"/>
            </w:pPr>
            <w:r>
              <w:rPr>
                <w:rFonts w:ascii="Calibri" w:hAnsi="Calibri"/>
                <w:color w:val="111111"/>
                <w:sz w:val="18"/>
              </w:rPr>
              <w:t>31.6 KiB</w:t>
            </w:r>
          </w:p>
        </w:tc>
        <w:tc>
          <w:tcPr>
            <w:tcW w:type="dxa" w:w="4560"/>
            <w:tcMar>
              <w:top w:w="80" w:type="dxa"/>
              <w:bottom w:w="80" w:type="dxa"/>
              <w:start w:w="120" w:type="dxa"/>
              <w:end w:w="120" w:type="dxa"/>
            </w:tcMar>
            <w:vAlign w:val="center"/>
          </w:tcPr>
          <w:p>
            <w:pPr>
              <w:keepLines/>
              <w:spacing w:after="0" w:line="259" w:lineRule="auto"/>
            </w:pPr>
            <w:r>
              <w:rPr>
                <w:rFonts w:ascii="Calibri" w:hAnsi="Calibri"/>
                <w:color w:val="111111"/>
                <w:sz w:val="18"/>
              </w:rPr>
              <w:t>Monitor complexity and state ownership.</w:t>
            </w:r>
          </w:p>
        </w:tc>
      </w:tr>
    </w:tbl>
    <w:p>
      <w:pPr>
        <w:spacing w:after="40"/>
      </w:pPr>
    </w:p>
    <w:p>
      <w:pPr>
        <w:pStyle w:val="Heading1"/>
      </w:pPr>
      <w:r>
        <w:t>Appendix C — Source references</w:t>
      </w:r>
    </w:p>
    <w:p>
      <w:pPr>
        <w:spacing w:after="100"/>
        <w:numPr>
          <w:ilvl w:val="0"/>
          <w:numId w:val="10"/>
        </w:numPr>
      </w:pPr>
      <w:hyperlink r:id="rId11">
        <w:r>
          <w:rPr>
            <w:rStyle w:val="Hyperlink"/>
            <w:color w:val="2E74B5"/>
          </w:rPr>
          <w:t>HPG Mission System — Introduction</w:t>
        </w:r>
      </w:hyperlink>
      <w:r>
        <w:rPr>
          <w:rFonts w:ascii="Calibri" w:hAnsi="Calibri"/>
          <w:color w:val="111111"/>
          <w:sz w:val="20"/>
        </w:rPr>
        <w:t xml:space="preserve"> — Mission-system capabilities and authoring context.</w:t>
      </w:r>
    </w:p>
    <w:p>
      <w:pPr>
        <w:spacing w:after="100"/>
        <w:numPr>
          <w:ilvl w:val="0"/>
          <w:numId w:val="10"/>
        </w:numPr>
      </w:pPr>
      <w:hyperlink r:id="rId12">
        <w:r>
          <w:rPr>
            <w:rStyle w:val="Hyperlink"/>
            <w:color w:val="2E74B5"/>
          </w:rPr>
          <w:t>HPG Mission Authoring Fundamentals</w:t>
        </w:r>
      </w:hyperlink>
      <w:r>
        <w:rPr>
          <w:rFonts w:ascii="Calibri" w:hAnsi="Calibri"/>
          <w:color w:val="111111"/>
          <w:sz w:val="20"/>
        </w:rPr>
        <w:t xml:space="preserve"> — Mission JSON, Scenario Developer, load model and sleep forever example.</w:t>
      </w:r>
    </w:p>
    <w:p>
      <w:pPr>
        <w:spacing w:after="100"/>
        <w:numPr>
          <w:ilvl w:val="0"/>
          <w:numId w:val="10"/>
        </w:numPr>
      </w:pPr>
      <w:hyperlink r:id="rId13">
        <w:r>
          <w:rPr>
            <w:rStyle w:val="Hyperlink"/>
            <w:color w:val="2E74B5"/>
          </w:rPr>
          <w:t>HPG Command Reference</w:t>
        </w:r>
      </w:hyperlink>
      <w:r>
        <w:rPr>
          <w:rFonts w:ascii="Calibri" w:hAnsi="Calibri"/>
          <w:color w:val="111111"/>
          <w:sz w:val="20"/>
        </w:rPr>
        <w:t xml:space="preserve"> — load_mission, create/destroy object, copy/create location, try/catch, tables and debug_write.</w:t>
      </w:r>
    </w:p>
    <w:p>
      <w:pPr>
        <w:spacing w:after="100"/>
        <w:numPr>
          <w:ilvl w:val="0"/>
          <w:numId w:val="10"/>
        </w:numPr>
      </w:pPr>
      <w:hyperlink r:id="rId14">
        <w:r>
          <w:rPr>
            <w:rStyle w:val="Hyperlink"/>
            <w:color w:val="2E74B5"/>
          </w:rPr>
          <w:t>HPG Query Reference</w:t>
        </w:r>
      </w:hyperlink>
      <w:r>
        <w:rPr>
          <w:rFonts w:ascii="Calibri" w:hAnsi="Calibri"/>
          <w:color w:val="111111"/>
          <w:sz w:val="20"/>
        </w:rPr>
        <w:t xml:space="preserve"> — locals, globals, LVAR queries, tables, arrays and text formatting.</w:t>
      </w:r>
    </w:p>
    <w:p>
      <w:pPr>
        <w:spacing w:after="100"/>
        <w:numPr>
          <w:ilvl w:val="0"/>
          <w:numId w:val="10"/>
        </w:numPr>
      </w:pPr>
      <w:hyperlink r:id="rId15">
        <w:r>
          <w:rPr>
            <w:rStyle w:val="Hyperlink"/>
            <w:color w:val="2E74B5"/>
          </w:rPr>
          <w:t>HPG Location Reference</w:t>
        </w:r>
      </w:hyperlink>
      <w:r>
        <w:rPr>
          <w:rFonts w:ascii="Calibri" w:hAnsi="Calibri"/>
          <w:color w:val="111111"/>
          <w:sz w:val="20"/>
        </w:rPr>
        <w:t xml:space="preserve"> — LOCATIONREF semantics and spatial operations.</w:t>
      </w:r>
    </w:p>
    <w:p>
      <w:pPr>
        <w:spacing w:after="100"/>
        <w:numPr>
          <w:ilvl w:val="0"/>
          <w:numId w:val="10"/>
        </w:numPr>
      </w:pPr>
      <w:hyperlink r:id="rId16">
        <w:r>
          <w:rPr>
            <w:rStyle w:val="Hyperlink"/>
            <w:color w:val="2E74B5"/>
          </w:rPr>
          <w:t>EASA Easy Access Rules for Air Operations — Revision 24, March 2026</w:t>
        </w:r>
      </w:hyperlink>
      <w:r>
        <w:rPr>
          <w:rFonts w:ascii="Calibri" w:hAnsi="Calibri"/>
          <w:color w:val="111111"/>
          <w:sz w:val="20"/>
        </w:rPr>
        <w:t xml:space="preserve"> — HEMS operating-site, crew and operational-training reference.</w:t>
      </w:r>
    </w:p>
    <w:p>
      <w:pPr>
        <w:spacing w:after="100"/>
        <w:numPr>
          <w:ilvl w:val="0"/>
          <w:numId w:val="10"/>
        </w:numPr>
      </w:pPr>
      <w:hyperlink r:id="rId17">
        <w:r>
          <w:rPr>
            <w:rStyle w:val="Hyperlink"/>
            <w:color w:val="2E74B5"/>
          </w:rPr>
          <w:t>WHO Interagency Integrated Triage Tool</w:t>
        </w:r>
      </w:hyperlink>
      <w:r>
        <w:rPr>
          <w:rFonts w:ascii="Calibri" w:hAnsi="Calibri"/>
          <w:color w:val="111111"/>
          <w:sz w:val="20"/>
        </w:rPr>
        <w:t xml:space="preserve"> — Routine and mass-casualty acuity triage reference.</w:t>
      </w:r>
    </w:p>
    <w:p>
      <w:pPr>
        <w:spacing w:after="100"/>
        <w:numPr>
          <w:ilvl w:val="0"/>
          <w:numId w:val="10"/>
        </w:numPr>
      </w:pPr>
      <w:hyperlink r:id="rId18">
        <w:r>
          <w:rPr>
            <w:rStyle w:val="Hyperlink"/>
            <w:color w:val="2E74B5"/>
          </w:rPr>
          <w:t>WHO Mass Casualty Management</w:t>
        </w:r>
      </w:hyperlink>
      <w:r>
        <w:rPr>
          <w:rFonts w:ascii="Calibri" w:hAnsi="Calibri"/>
          <w:color w:val="111111"/>
          <w:sz w:val="20"/>
        </w:rPr>
        <w:t xml:space="preserve"> — Resource allocation, dynamic triage and standardized clinical documentation.</w:t>
      </w:r>
    </w:p>
    <w:p>
      <w:pPr>
        <w:spacing w:after="100"/>
        <w:numPr>
          <w:ilvl w:val="0"/>
          <w:numId w:val="10"/>
        </w:numPr>
      </w:pPr>
      <w:hyperlink r:id="rId19">
        <w:r>
          <w:rPr>
            <w:rStyle w:val="Hyperlink"/>
            <w:color w:val="2E74B5"/>
          </w:rPr>
          <w:t>WHO Clinical Checklists</w:t>
        </w:r>
      </w:hyperlink>
      <w:r>
        <w:rPr>
          <w:rFonts w:ascii="Calibri" w:hAnsi="Calibri"/>
          <w:color w:val="111111"/>
          <w:sz w:val="20"/>
        </w:rPr>
        <w:t xml:space="preserve"> — Structured emergency/trauma review and simulation resources.</w:t>
      </w:r>
    </w:p>
    <w:p>
      <w:pPr>
        <w:pStyle w:val="Heading1"/>
      </w:pPr>
      <w:r>
        <w:t>Appendix D — Release statement</w:t>
      </w:r>
    </w:p>
    <w:tbl>
      <w:tblPr>
        <w:tblStyle w:val="TableGrid"/>
        <w:tblW w:type="dxa" w:w="9360"/>
        <w:jc w:val="left"/>
        <w:tblLayout w:type="fixed"/>
        <w:tblLook w:firstColumn="1" w:firstRow="1" w:lastColumn="0" w:lastRow="0" w:noHBand="0" w:noVBand="1" w:val="04A0"/>
        <w:tblInd w:w="120" w:type="dxa"/>
      </w:tblPr>
      <w:tblGrid>
        <w:gridCol w:w="9360"/>
      </w:tblGrid>
      <w:tr>
        <w:trPr>
          <w:cantSplit/>
          <w:cantSplit/>
        </w:trPr>
        <w:tc>
          <w:tcPr>
            <w:tcW w:type="dxa" w:w="9360"/>
            <w:shd w:fill="E7F4E8"/>
            <w:tcMar>
              <w:top w:w="80" w:type="dxa"/>
              <w:bottom w:w="80" w:type="dxa"/>
              <w:start w:w="120" w:type="dxa"/>
              <w:end w:w="120" w:type="dxa"/>
            </w:tcMar>
            <w:vAlign w:val="center"/>
          </w:tcPr>
          <w:p>
            <w:pPr>
              <w:keepLines/>
              <w:spacing w:after="60"/>
            </w:pPr>
            <w:r>
              <w:rPr>
                <w:rFonts w:ascii="Calibri" w:hAnsi="Calibri"/>
                <w:b/>
                <w:color w:val="176A3A"/>
                <w:sz w:val="22"/>
              </w:rPr>
              <w:t>Static release status: PASS</w:t>
              <w:br/>
            </w:r>
            <w:r>
              <w:rPr>
                <w:rFonts w:ascii="Calibri" w:hAnsi="Calibri"/>
                <w:color w:val="111111"/>
                <w:sz w:val="20"/>
              </w:rPr>
              <w:t>Primary mission, global defaults and companion train.json parse. The validator reports 6,849 primary executable conditions, 2,201 primary renderer conditions, 6,779 require leaves, 2,063 resolved static macro calls, 45 CARLS layouts, 33 fixed-width before-takeoff rows, 251 release assertions and 11 train.json assertions. The malformed random-fishing create_location command is fixed and guarded. Runtime sign-off remains outstanding by design.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B6573"/>
        <w:sz w:val="17"/>
      </w:rPr>
      <w:t>Release 0.997 92  •  31 August 2026</w:t>
    </w:r>
    <w:r>
      <w:rPr>
        <w:rFonts w:ascii="Calibri" w:hAnsi="Calibri"/>
        <w:color w:val="5B6573"/>
        <w:sz w:val="17"/>
      </w:rPr>
      <w:tab/>
      <w:tab/>
      <w:t xml:space="preserve">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HEMS RANDOM &amp; EVERYWHERE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abstractNum w:abstractNumId="12">
    <w:multiLevelType w:val="singleLevel"/>
    <w:lvl w:ilvl="0">
      <w:start w:val="1"/>
      <w:numFmt w:val="decimal"/>
      <w:lvlText w:val="%1."/>
      <w:suff w:val="tab"/>
      <w:pPr>
        <w:tabs>
          <w:tab w:val="num" w:pos="540"/>
        </w:tabs>
        <w:ind w:left="540" w:hanging="270"/>
        <w:spacing w:after="80" w:line="300" w:lineRule="auto"/>
      </w:pPr>
    </w:lvl>
  </w:abstract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vux.com/docs/missionsys/" TargetMode="External"/><Relationship Id="rId12" Type="http://schemas.openxmlformats.org/officeDocument/2006/relationships/hyperlink" Target="https://davux.com/docs/missionsys/TOPIC-ANATOMY.html" TargetMode="External"/><Relationship Id="rId13" Type="http://schemas.openxmlformats.org/officeDocument/2006/relationships/hyperlink" Target="https://davux.com/docs/missionsys/REFERENCE-COMMAND.html" TargetMode="External"/><Relationship Id="rId14" Type="http://schemas.openxmlformats.org/officeDocument/2006/relationships/hyperlink" Target="https://davux.com/docs/missionsys/REFERENCE-QUERY.html" TargetMode="External"/><Relationship Id="rId15" Type="http://schemas.openxmlformats.org/officeDocument/2006/relationships/hyperlink" Target="https://davux.com/docs/missionsys/REFERENCE-LOCATION.html" TargetMode="External"/><Relationship Id="rId16" Type="http://schemas.openxmlformats.org/officeDocument/2006/relationships/hyperlink" Target="https://www.easa.europa.eu/en/document-library/easy-access-rules/online-publications/easy-access-rules-air-operations" TargetMode="External"/><Relationship Id="rId17" Type="http://schemas.openxmlformats.org/officeDocument/2006/relationships/hyperlink" Target="https://www.who.int/tools/triage" TargetMode="External"/><Relationship Id="rId18" Type="http://schemas.openxmlformats.org/officeDocument/2006/relationships/hyperlink" Target="https://www.who.int/teams/integrated-health-services/clinical-services-and-systems/emergency-and-critical-care/mass-casualty-management" TargetMode="External"/><Relationship Id="rId19" Type="http://schemas.openxmlformats.org/officeDocument/2006/relationships/hyperlink" Target="https://www.who.int/tools/clinical-check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HEMS Random &amp; Everywhere — Technical Documentation and Code Review 0.997 92</dc:title>
  <dc:subject>Architecture, release validation, technical debt, simulation improvements, and train.json review</dc:subject>
  <dc:creator>OpenAI Codex, prepared for Davierosoft</dc:creator>
  <cp:keywords>HEMS, H145, HPG Mission System, MSFS, code review, train.json</cp:keywords>
  <dc:description>generated by python-docx</dc:description>
  <cp:lastModifiedBy/>
  <cp:revision>1</cp:revision>
  <dcterms:created xsi:type="dcterms:W3CDTF">2013-12-23T23:15:00Z</dcterms:created>
  <dcterms:modified xsi:type="dcterms:W3CDTF">2013-12-23T23:15:00Z</dcterms:modified>
  <cp:category/>
</cp:coreProperties>
</file>