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Updated: 7/18/19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Materials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Gloves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Culture samples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90% Acetone (fridge)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Deionized water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Micro-pipette (1 mL max)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Micro-pipette (20-200µg)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Refrigerated Centrifuge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Bead-mill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Refrigerator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Photo Spectrometer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Fume Hood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Minimize lights in laboratory as much as possible to decrease light damage to pigments.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Set the refrigerated centrifuge to 4℃.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Allow samples to thaw in the dark. Keep on ice after thawing.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Ce54ntrifuge for 20 min at max RPM (14.8) and 4℃ 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Remove samples from centrifuge and very carefully put them on ice.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Using the 1mL maximum micro-pipette, carefully remove supernatant without disturbing pellet. Remove any remaining supernatant with the 20-200µg micropipette. 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small amount of beads to tubes.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1mL of 90% acetone to each tube once the supernatant has been drained.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409575</wp:posOffset>
            </wp:positionH>
            <wp:positionV relativeFrom="paragraph">
              <wp:posOffset>209550</wp:posOffset>
            </wp:positionV>
            <wp:extent cx="2847975" cy="2695575"/>
            <wp:effectExtent b="0" l="0" r="0" t="0"/>
            <wp:wrapTopAndBottom distB="114300" distT="11430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2762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695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Run the samples in the bead mill at 6.00 m/s for 2 minutes.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Cover each sample with foil (should be in the incubation box) and incubate in darkness for 24 hours in the fridge.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After 24 hours, centrifuge the samples again for 3 minute at max RPM (14.8), 4℃.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619125</wp:posOffset>
            </wp:positionH>
            <wp:positionV relativeFrom="paragraph">
              <wp:posOffset>114300</wp:posOffset>
            </wp:positionV>
            <wp:extent cx="3338513" cy="2919857"/>
            <wp:effectExtent b="0" l="0" r="0" t="0"/>
            <wp:wrapTopAndBottom distB="114300" distT="11430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22259" l="0" r="0" t="11960"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29198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Plate samples in triplicate (200µg) and read absorbance at 630nm and 663 nm, use 90% acetone as blank. See picture for plate layout. 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Clear lidded assay plates (REF#:3370,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https://ecatalog.corning.com/life-sciences/b2c/US/en/Permeable-Supports/Inserts/Corning%C2%AE-96-well-Clear-Polystyrene-Microplates/p/3370?clear=true</w:t>
        </w:r>
      </w:hyperlink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0"/>
        </w:rPr>
        <w:t xml:space="preserve">or black assay plates with clear bottoms can be used, but plate type must be consistent within a project. Plates can be rinsed and reused between readings.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409575</wp:posOffset>
            </wp:positionH>
            <wp:positionV relativeFrom="paragraph">
              <wp:posOffset>1504950</wp:posOffset>
            </wp:positionV>
            <wp:extent cx="4252913" cy="2093742"/>
            <wp:effectExtent b="0" l="0" r="0" t="0"/>
            <wp:wrapTopAndBottom distB="114300" distT="11430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31403" l="0" r="0" t="31625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20937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formula for ChlA concentration=(13.31*Blk 663 average)-(0.27*Blk 630 average). The formula for ChlC2 concentration=(-8.37*Blk 663 average)+(51.72*Blk 630 average).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hyperlink" Target="https://ecatalog.corning.com/life-sciences/b2c/US/en/Permeable-Supports/Inserts/Corning%C2%AE-96-well-Clear-Polystyrene-Microplates/p/3370?clear=tru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