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6634"/>
        </w:rPr>
        <w:t>ERS — teste</w:t>
      </w:r>
    </w:p>
    <w:p>
      <w:pPr>
        <w:jc w:val="center"/>
      </w:pPr>
      <w:r>
        <w:rPr>
          <w:sz w:val="20"/>
        </w:rPr>
        <w:t>Gestor: Davi</w:t>
        <w:br/>
      </w:r>
      <w:r>
        <w:rPr>
          <w:sz w:val="20"/>
        </w:rPr>
        <w:t>Cliente: davi</w:t>
        <w:br/>
      </w:r>
      <w:r>
        <w:rPr>
          <w:sz w:val="20"/>
        </w:rPr>
        <w:t>Data: 14/06/2026</w:t>
        <w:br/>
      </w:r>
      <w:r>
        <w:rPr>
          <w:sz w:val="20"/>
        </w:rPr>
        <w:t>Total de requisitos: 13</w:t>
        <w:br/>
      </w:r>
    </w:p>
    <w:p/>
    <w:p>
      <w:pPr>
        <w:pStyle w:val="Heading1"/>
      </w:pPr>
      <w:r>
        <w:rPr>
          <w:color w:val="1A6634"/>
        </w:rPr>
        <w:t>1. Descrição do Projeto</w:t>
      </w:r>
    </w:p>
    <w:p>
      <w:r>
        <w:t>teste</w:t>
      </w:r>
    </w:p>
    <w:p>
      <w:pPr>
        <w:pStyle w:val="Heading1"/>
      </w:pPr>
      <w:r>
        <w:rPr>
          <w:color w:val="1A6634"/>
        </w:rPr>
        <w:t>2. Requisitos Funcionais</w:t>
      </w:r>
    </w:p>
    <w:p>
      <w:pPr>
        <w:pStyle w:val="Heading2"/>
      </w:pPr>
      <w:r>
        <w:t>2.1  RF-001 — Gestão de amostras com rastreabilidade por lote</w:t>
      </w:r>
    </w:p>
    <w:p>
      <w:r>
        <w:t>O sistema deve permitir o cadastro, rastreamento e controle de amostras identificadas por código de lote único, incluindo origem, responsável e data de coleta.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Em Revisão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2.2  RF-002 — Registro de resultados analíticos por analista</w:t>
      </w:r>
    </w:p>
    <w:p>
      <w:r>
        <w:t>O sistema deve permitir o registro de resultados analíticos vinculados ao analista responsável, ao instrumento utilizado e ao método analítico aplicado.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Em Revisão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2.3  RF-003 — Fluxo de aprovação de resultados com dupla validação</w:t>
      </w:r>
    </w:p>
    <w:p>
      <w:r>
        <w:t>Resultados analíticos devem passar por um fluxo de aprovação em duas etapas, exigindo a revisão e assinatura eletrônica de dois analistas distintos antes da liberação.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Em Revisão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2.4  RF-004 — Geração de Certificado de Análise (CoA) automatizado</w:t>
      </w:r>
    </w:p>
    <w:p>
      <w:r>
        <w:t>O sistema deve gerar automaticamente Certificados de Análise (CoA) padronizados após a aprovação dos resultados, com todos os dados rastreáveis do ensaio.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Em Revisão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2.5  RF-005 — Controle de instrumentos analíticos e calibrações</w:t>
      </w:r>
    </w:p>
    <w:p>
      <w:r>
        <w:t>O sistema deve registrar e controlar o histórico de calibrações, manutenções preventivas e qualificações dos instrumentos analíticos do laboratório.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Aprovado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2.6  RF-006 — Gestão de amostras retidas e descarte controlado</w:t>
      </w:r>
    </w:p>
    <w:p>
      <w:r>
        <w:t>O sistema deve controlar o prazo de retenção de amostras de referência e registrar formalmente o processo de descarte, incluindo autorização e método.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Aprovado c/ Ressalvas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A6634"/>
        </w:rPr>
        <w:t>3. Requisitos Não Funcionais</w:t>
      </w:r>
    </w:p>
    <w:p>
      <w:pPr>
        <w:pStyle w:val="Heading2"/>
      </w:pPr>
      <w:r>
        <w:t>3.1  RNF-001 — Conformidade com FDA 21 CFR Part 11</w:t>
      </w:r>
    </w:p>
    <w:p>
      <w:r>
        <w:t>O sistema deve estar em conformidade com os requisitos do FDA 21 CFR Part 11, incluindo trilha de auditoria eletrônica imutável, assinaturas eletrônicas e controle de acesso por perfil.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Rejeitado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3.2  RNF-002 — Validação de sistema conforme GAMP 5</w:t>
      </w:r>
    </w:p>
    <w:p>
      <w:r>
        <w:t>O sistema deve ser qualificável e validável segundo a diretriz GAMP 5 da ISPE, com suporte a documentação de IQ, OQ e PQ.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Aprovado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3.3  RNF-003 — Disponibilidade mínima de 99,5% do sistema</w:t>
      </w:r>
    </w:p>
    <w:p>
      <w:r>
        <w:t>O sistema deve garantir disponibilidade mínima de 99,5% ao mês, com janelas de manutenção programadas e comunicadas com antecedência mínima de 72 horas.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Aprovado c/ Ressalvas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A6634"/>
        </w:rPr>
        <w:t>4. Regras de Negócio</w:t>
      </w:r>
    </w:p>
    <w:p>
      <w:pPr>
        <w:pStyle w:val="Heading2"/>
      </w:pPr>
      <w:r>
        <w:t>4.1  RN-001 — Resultado OOS exige abertura de investigação obrigatória</w:t>
      </w:r>
    </w:p>
    <w:p>
      <w:r>
        <w:t>Todo resultado Fora de Especificação (OOS) deve disparar automaticamente a abertura de uma investigação laboratorial, bloqueando a liberação do lote até a conclusão.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Aprovado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4.2  RN-002 — Aprovação exige confirmação de dois analistas distintos</w:t>
      </w:r>
    </w:p>
    <w:p>
      <w:r>
        <w:t>Nenhum resultado analítico pode ser aprovado pelo mesmo analista que o registrou. A segunda aprovação deve ser realizada por profissional com perfil de aprovador.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Rascunho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A6634"/>
        </w:rPr>
        <w:t>5. Restrições</w:t>
      </w:r>
    </w:p>
    <w:p>
      <w:pPr>
        <w:pStyle w:val="Heading2"/>
      </w:pPr>
      <w:r>
        <w:t>5.1  RT-001 — Trilha de auditoria imutável por mínimo 10 anos</w:t>
      </w:r>
    </w:p>
    <w:p>
      <w:r>
        <w:t>A trilha de auditoria deve ser imutável e retida por no mínimo 10 anos, não podendo ser alterada, excluída ou sobrescrita por nenhum perfil de usuário, inclusive administradores.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Aprovado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5.2  RT-002 — Alterações em resultados aprovados exigem justificativa documentada</w:t>
      </w:r>
    </w:p>
    <w:p>
      <w:r>
        <w:t>Qualquer alteração em resultado já aprovado deve exigir justificativa formal documentada, nova aprovação dupla e registro automático na trilha de auditoria.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Média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Aprovado</w:t>
            </w:r>
          </w:p>
        </w:tc>
      </w:tr>
      <w:tr>
        <w:tc>
          <w:tcPr>
            <w:tcW w:type="dxa" w:w="4392"/>
          </w:tcPr>
          <w:p>
            <w:r>
              <w:t>Categoria</w:t>
            </w:r>
          </w:p>
        </w:tc>
        <w:tc>
          <w:tcPr>
            <w:tcW w:type="dxa" w:w="4392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A6634"/>
        </w:rPr>
        <w:t>6. Diagramas</w:t>
      </w:r>
    </w:p>
    <w:p>
      <w:pPr>
        <w:pStyle w:val="Heading2"/>
      </w:pPr>
      <w:r>
        <w:t>Projeto_Integrador_Atualizado.pdf</w:t>
      </w:r>
    </w:p>
    <w:p>
      <w:r>
        <w:t>[Arquivo PDF — visualize separadamente]</w:t>
      </w:r>
    </w:p>
    <w:p/>
    <w:p>
      <w:pPr>
        <w:pStyle w:val="Heading1"/>
      </w:pPr>
      <w:r>
        <w:rPr>
          <w:color w:val="1A6634"/>
        </w:rPr>
        <w:t>Resumo</w:t>
      </w:r>
    </w:p>
    <w:p>
      <w:r>
        <w:t>Total de requisitos: 13</w:t>
      </w:r>
    </w:p>
    <w:p>
      <w:r>
        <w:t>Requisitos Funcionais: 6</w:t>
      </w:r>
    </w:p>
    <w:p>
      <w:r>
        <w:t>Requisitos Não Funcionais: 3</w:t>
      </w:r>
    </w:p>
    <w:p>
      <w:r>
        <w:t>Regras de Negócio: 2</w:t>
      </w:r>
    </w:p>
    <w:p>
      <w:r>
        <w:t>Restrições: 2</w:t>
      </w:r>
    </w:p>
    <w:p>
      <w:r>
        <w:t>Diagramas: 1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