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1"/>
        <w:tblW w:w="6888.999999999998" w:type="dxa"/>
        <w:jc w:val="center"/>
        <w:tblLayout w:type="fixed"/>
        <w:tblLook w:val="0000"/>
      </w:tblPr>
      <w:tblGrid>
        <w:gridCol w:w="1692"/>
        <w:gridCol w:w="3444"/>
        <w:gridCol w:w="1753"/>
        <w:tblGridChange w:id="0">
          <w:tblGrid>
            <w:gridCol w:w="1692"/>
            <w:gridCol w:w="3444"/>
            <w:gridCol w:w="17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Heading level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Font size and style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 (centered)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Lecture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 point, bold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-level heading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point, bold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-level heading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 Printing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point, bold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-level heading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Run-in Heading in Bold.</w:t>
            </w:r>
            <w:r w:rsidDel="00000000" w:rsidR="00000000" w:rsidRPr="00000000">
              <w:rPr>
                <w:rtl w:val="0"/>
              </w:rPr>
              <w:t xml:space="preserve"> Text follows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point, bold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-level heading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Lowest Level Heading.</w:t>
            </w:r>
            <w:r w:rsidDel="00000000" w:rsidR="00000000" w:rsidRPr="00000000">
              <w:rPr>
                <w:rtl w:val="0"/>
              </w:rPr>
              <w:t xml:space="preserve"> Text follows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point, italic</w:t>
            </w:r>
          </w:p>
        </w:tc>
      </w:tr>
    </w:tbl>
    <w:p>
      <w:pPr>
        <w:pStyle w:val="Title"/>
        <w:jc w:val="left"/>
      </w:pPr>
      <w:r>
        <w:t>Modelagem Preditiva de Internação em UTI em Casos de SRAG no Brasil (2016-2018)</w:t>
      </w:r>
    </w:p>
    <w:p/>
    <w:p>
      <w:pPr>
        <w:jc w:val="both"/>
      </w:pPr>
      <w:r>
        <w:t>Autores:</w:t>
      </w:r>
    </w:p>
    <w:p>
      <w:pPr>
        <w:jc w:val="both"/>
      </w:pPr>
      <w:r>
        <w:t>Davi Henrique Menezes da Cruz</w:t>
      </w:r>
    </w:p>
    <w:p>
      <w:pPr>
        <w:jc w:val="both"/>
      </w:pPr>
      <w:r>
        <w:t>Sabrina de Oliveira Souza</w:t>
      </w:r>
    </w:p>
    <w:p/>
    <w:p>
      <w:pPr>
        <w:jc w:val="both"/>
      </w:pPr>
      <w:r>
        <w:t>Instituição:</w:t>
      </w:r>
    </w:p>
    <w:p>
      <w:pPr>
        <w:jc w:val="both"/>
      </w:pPr>
      <w:r>
        <w:t>Instituto Federal de Brasília (IFB)</w:t>
      </w:r>
    </w:p>
    <w:p/>
    <w:p/>
    <w:p/>
    <w:p>
      <w:pPr>
        <w:pStyle w:val="Heading2"/>
        <w:jc w:val="left"/>
      </w:pPr>
      <w:r>
        <w:t>1. Introdução</w:t>
      </w:r>
    </w:p>
    <w:p/>
    <w:p>
      <w:pPr>
        <w:jc w:val="both"/>
      </w:pPr>
      <w:r>
        <w:t>A Síndrome Respiratória Aguda Grave (SRAG) representa um importante problema de saúde pública no Brasil, com impactos significativos na morbidade e mortalidade da população. A identificação precoce de pacientes com maior risco de necessitar de internação em Unidade de Terapia Intensiva (UTI) é fundamental para o planejamento de recursos hospitalares, a otimização do atendimento e a melhoria dos desfechos clínicos.</w:t>
      </w:r>
    </w:p>
    <w:p/>
    <w:p>
      <w:pPr>
        <w:jc w:val="both"/>
      </w:pPr>
      <w:r>
        <w:t>Este estudo tem como objetivo analisar os fatores associados à internação em Unidade de Terapia Intensiva (UTI) em casos de SRAG no Brasil, considerando variáveis demográficas, clínicas e de acesso à saúde. Especificamente, busca-se desenvolver um modelo preditivo capaz de identificar quais pacientes com SRAG têm maior probabilidade de necessitar de internação em UTI, utilizando dados dos anos de 2016, 2017 e 2018.</w:t>
      </w:r>
    </w:p>
    <w:p/>
    <w:p>
      <w:pPr>
        <w:jc w:val="both"/>
      </w:pPr>
      <w:r>
        <w:t>A escolha do período de análise (2016-2018) permite uma visão abrangente dos padrões de ocorrência da SRAG antes da pandemia de COVID-19, oferecendo uma linha de base importante para estudos comparativos futuros. A identificação precoce de pacientes com maior risco de necessidade de cuidados intensivos é fundamental para o planejamento de recursos hospitalares e a otimização do atendimento em saúde.</w:t>
      </w:r>
    </w:p>
    <w:p/>
    <w:p/>
    <w:p/>
    <w:p>
      <w:pPr>
        <w:pStyle w:val="Heading2"/>
        <w:jc w:val="left"/>
      </w:pPr>
      <w:r>
        <w:t>2. Materiais e Métodos</w:t>
      </w:r>
    </w:p>
    <w:p/>
    <w:p>
      <w:pPr>
        <w:pStyle w:val="Heading3"/>
        <w:jc w:val="left"/>
      </w:pPr>
      <w:r>
        <w:t>2.1. Dados Utilizados</w:t>
      </w:r>
    </w:p>
    <w:p/>
    <w:p>
      <w:pPr>
        <w:jc w:val="both"/>
      </w:pPr>
      <w:r>
        <w:t>O estudo utilizou dados do Sistema de Informação de Agravos de Notificação (SINAN), disponibilizados pelo Ministério da Saúde do Brasil, referentes aos casos de SRAG notificados nos anos de 2016, 2017 e 2018. Os arquivos utilizados foram:</w:t>
      </w:r>
    </w:p>
    <w:p/>
    <w:p>
      <w:pPr>
        <w:ind w:left="360"/>
      </w:pPr>
      <w:r>
        <w:t>• INFLUD16.csv - Base de dados de 2016</w:t>
      </w:r>
    </w:p>
    <w:p>
      <w:pPr>
        <w:ind w:left="360"/>
      </w:pPr>
      <w:r>
        <w:t>• INFLUD17.csv - Base de dados de 2017</w:t>
      </w:r>
    </w:p>
    <w:p>
      <w:pPr>
        <w:ind w:left="360"/>
      </w:pPr>
      <w:r>
        <w:t>• INFLUD18.csv - Base de dados de 2018</w:t>
      </w:r>
    </w:p>
    <w:p/>
    <w:p>
      <w:pPr>
        <w:pStyle w:val="Heading3"/>
        <w:jc w:val="left"/>
      </w:pPr>
      <w:r>
        <w:t>2.2. Variáveis Selecionadas</w:t>
      </w:r>
    </w:p>
    <w:p/>
    <w:p>
      <w:pPr>
        <w:jc w:val="both"/>
      </w:pPr>
      <w:r>
        <w:t>As seguintes variáveis foram selecionadas para análise:</w:t>
      </w:r>
    </w:p>
    <w:p/>
    <w:p>
      <w:pPr>
        <w:jc w:val="both"/>
      </w:pPr>
      <w:r>
        <w:t>Variáveis Demográficas:</w:t>
      </w:r>
    </w:p>
    <w:p>
      <w:pPr>
        <w:ind w:left="360"/>
      </w:pPr>
      <w:r>
        <w:t>• Município de Registro do caso (ID_MUNICIP)</w:t>
      </w:r>
    </w:p>
    <w:p>
      <w:pPr>
        <w:ind w:left="360"/>
      </w:pPr>
      <w:r>
        <w:t>• Data dos primeiros sintomas (DT_SIN_PRI)</w:t>
      </w:r>
    </w:p>
    <w:p>
      <w:pPr>
        <w:ind w:left="360"/>
      </w:pPr>
      <w:r>
        <w:t>• Sexo (CS_SEXO)</w:t>
      </w:r>
    </w:p>
    <w:p>
      <w:pPr>
        <w:ind w:left="360"/>
      </w:pPr>
      <w:r>
        <w:t>• Raça/Cor (CS_RACA)</w:t>
      </w:r>
    </w:p>
    <w:p>
      <w:pPr>
        <w:ind w:left="360"/>
      </w:pPr>
      <w:r>
        <w:t>• Idade (NU_IDADE_N)</w:t>
      </w:r>
    </w:p>
    <w:p>
      <w:pPr>
        <w:ind w:left="360"/>
      </w:pPr>
      <w:r>
        <w:t>• Escolaridade (CS_ESCOL_N)</w:t>
      </w:r>
    </w:p>
    <w:p>
      <w:pPr>
        <w:ind w:left="360"/>
      </w:pPr>
      <w:r>
        <w:t>• UF (SG_UF)</w:t>
      </w:r>
    </w:p>
    <w:p>
      <w:pPr>
        <w:ind w:left="360"/>
      </w:pPr>
      <w:r>
        <w:t>• Município de residência (ID_MN_RESI)</w:t>
      </w:r>
    </w:p>
    <w:p>
      <w:pPr>
        <w:ind w:left="360"/>
      </w:pPr>
      <w:r>
        <w:t>• Distrito (ID_DISTRIT)</w:t>
      </w:r>
    </w:p>
    <w:p/>
    <w:p>
      <w:pPr>
        <w:jc w:val="both"/>
      </w:pPr>
      <w:r>
        <w:t>Variáveis Clínicas e de Acesso à Saúde:</w:t>
      </w:r>
    </w:p>
    <w:p>
      <w:pPr>
        <w:ind w:left="360"/>
      </w:pPr>
      <w:r>
        <w:t>• Gestante (CS_GESTANT)</w:t>
      </w:r>
    </w:p>
    <w:p>
      <w:pPr>
        <w:ind w:left="360"/>
      </w:pPr>
      <w:r>
        <w:t>• Hospitalizado (HOSPITAL)</w:t>
      </w:r>
    </w:p>
    <w:p>
      <w:pPr>
        <w:ind w:left="360"/>
      </w:pPr>
      <w:r>
        <w:t>• Internado em UTI (UTI) - Variável Alvo</w:t>
      </w:r>
    </w:p>
    <w:p>
      <w:pPr>
        <w:ind w:left="360"/>
      </w:pPr>
      <w:r>
        <w:t>• Vacinação (VACINA)</w:t>
      </w:r>
    </w:p>
    <w:p>
      <w:pPr>
        <w:ind w:left="360"/>
      </w:pPr>
      <w:r>
        <w:t>• Evolução (EVOLUCAO)</w:t>
      </w:r>
    </w:p>
    <w:p/>
    <w:p>
      <w:pPr>
        <w:jc w:val="both"/>
      </w:pPr>
      <w:r>
        <w:t>Comorbidades:</w:t>
      </w:r>
    </w:p>
    <w:p>
      <w:pPr>
        <w:ind w:left="360"/>
      </w:pPr>
      <w:r>
        <w:t>• Obesidade (OBESIDADE)</w:t>
      </w:r>
    </w:p>
    <w:p>
      <w:pPr>
        <w:ind w:left="360"/>
      </w:pPr>
      <w:r>
        <w:t>• Cardiopatia (CARDIOPATI)</w:t>
      </w:r>
    </w:p>
    <w:p>
      <w:pPr>
        <w:ind w:left="360"/>
      </w:pPr>
      <w:r>
        <w:t>• Pneumopatia (PNEUMOPATI)</w:t>
      </w:r>
    </w:p>
    <w:p>
      <w:pPr>
        <w:ind w:left="360"/>
      </w:pPr>
      <w:r>
        <w:t>• Doença Metabólica (METABOLICA)</w:t>
      </w:r>
    </w:p>
    <w:p/>
    <w:p>
      <w:pPr>
        <w:jc w:val="both"/>
      </w:pPr>
      <w:r>
        <w:t>Sintomas:</w:t>
      </w:r>
    </w:p>
    <w:p>
      <w:pPr>
        <w:ind w:left="360"/>
      </w:pPr>
      <w:r>
        <w:t>• Febre (FEBRE)</w:t>
      </w:r>
    </w:p>
    <w:p>
      <w:pPr>
        <w:ind w:left="360"/>
      </w:pPr>
      <w:r>
        <w:t>• Tosse (TOSSE)</w:t>
      </w:r>
    </w:p>
    <w:p>
      <w:pPr>
        <w:ind w:left="360"/>
      </w:pPr>
      <w:r>
        <w:t>• Dispneia (DISPNEIA)</w:t>
      </w:r>
    </w:p>
    <w:p/>
    <w:p>
      <w:pPr>
        <w:pStyle w:val="Heading3"/>
        <w:jc w:val="left"/>
      </w:pPr>
      <w:r>
        <w:t>2.3. Preparação dos Dados</w:t>
      </w:r>
    </w:p>
    <w:p/>
    <w:p>
      <w:pPr>
        <w:pStyle w:val="Heading4"/>
        <w:jc w:val="left"/>
      </w:pPr>
      <w:r>
        <w:t>2.3.1. Limpeza e Tratamento de Dados</w:t>
      </w:r>
    </w:p>
    <w:p/>
    <w:p>
      <w:pPr>
        <w:jc w:val="both"/>
      </w:pPr>
      <w:r>
        <w:t>1. Unificação das bases: As três bases de dados foram unificadas em um único conjunto, totalizando 131.687 registros iniciais.</w:t>
      </w:r>
    </w:p>
    <w:p/>
    <w:p>
      <w:pPr>
        <w:jc w:val="both"/>
      </w:pPr>
      <w:r>
        <w:t>2. Tratamento de valores ausentes:</w:t>
      </w:r>
    </w:p>
    <w:p>
      <w:pPr>
        <w:ind w:left="360"/>
      </w:pPr>
      <w:r>
        <w:t>• Valores ausentes em raca_cor foram tratados (aproximadamente 2-4% dos casos)</w:t>
      </w:r>
    </w:p>
    <w:p>
      <w:pPr>
        <w:ind w:left="360"/>
      </w:pPr>
      <w:r>
        <w:t>• Registros com data de primeiros sintomas inválida foram removidos</w:t>
      </w:r>
    </w:p>
    <w:p>
      <w:pPr>
        <w:ind w:left="360"/>
      </w:pPr>
      <w:r>
        <w:t>• Valores inconsistentes em sexo (como "I" para ignorado) foram tratados</w:t>
      </w:r>
    </w:p>
    <w:p/>
    <w:p>
      <w:pPr>
        <w:jc w:val="both"/>
      </w:pPr>
      <w:r>
        <w:t>3. Padronização de variáveis:</w:t>
      </w:r>
    </w:p>
    <w:p>
      <w:pPr>
        <w:ind w:left="360"/>
      </w:pPr>
      <w:r>
        <w:t>• sexo: Padronizado para "M" (masculino) ou "F" (feminino)</w:t>
      </w:r>
    </w:p>
    <w:p>
      <w:pPr>
        <w:ind w:left="360"/>
      </w:pPr>
      <w:r>
        <w:t>• raca_cor: Convertida para numérica, com códigos: 1=Branca, 2=Preta, 3=Amarela, 4=Parda, 5=Indígena, 9=Ignorado</w:t>
      </w:r>
    </w:p>
    <w:p>
      <w:pPr>
        <w:ind w:left="360"/>
      </w:pPr>
      <w:r>
        <w:t>• data_primeiros_sintomas: Convertida para formato datetime</w:t>
      </w:r>
    </w:p>
    <w:p>
      <w:pPr>
        <w:ind w:left="360"/>
      </w:pPr>
      <w:r>
        <w:t>• uf: Mapeada para regiões do Brasil (Norte, Nordeste, Sudeste, Sul, Centro-Oeste)</w:t>
      </w:r>
    </w:p>
    <w:p/>
    <w:p>
      <w:pPr>
        <w:jc w:val="both"/>
      </w:pPr>
      <w:r>
        <w:t>4. Criação de variáveis derivadas:</w:t>
      </w:r>
    </w:p>
    <w:p>
      <w:pPr>
        <w:ind w:left="360"/>
      </w:pPr>
      <w:r>
        <w:t>• Região: Criada a partir do mapeamento das UFs para as cinco regiões do Brasil</w:t>
      </w:r>
    </w:p>
    <w:p>
      <w:pPr>
        <w:ind w:left="360"/>
      </w:pPr>
      <w:r>
        <w:t>• Mês: Extraído da data dos primeiros sintomas para análise temporal</w:t>
      </w:r>
    </w:p>
    <w:p>
      <w:pPr>
        <w:ind w:left="360"/>
      </w:pPr>
      <w:r>
        <w:t>• Ano: Mantido para controle temporal</w:t>
      </w:r>
    </w:p>
    <w:p/>
    <w:p>
      <w:pPr>
        <w:pStyle w:val="Heading4"/>
        <w:jc w:val="left"/>
      </w:pPr>
      <w:r>
        <w:t>2.3.2. Criação da Variável Alvo</w:t>
      </w:r>
    </w:p>
    <w:p/>
    <w:p>
      <w:pPr>
        <w:jc w:val="both"/>
      </w:pPr>
      <w:r>
        <w:t>A variável alvo binária internado_uti foi criada a partir da variável UTI para classificar os casos em:</w:t>
      </w:r>
    </w:p>
    <w:p>
      <w:pPr>
        <w:ind w:left="360"/>
      </w:pPr>
      <w:r>
        <w:t>• 0 (Não internado em UTI): Casos com UTI = 2 (Não)</w:t>
      </w:r>
    </w:p>
    <w:p>
      <w:pPr>
        <w:ind w:left="360"/>
      </w:pPr>
      <w:r>
        <w:t>• 1 (Internado em UTI): Casos com UTI = 1 (Sim)</w:t>
      </w:r>
    </w:p>
    <w:p/>
    <w:p>
      <w:pPr>
        <w:jc w:val="both"/>
      </w:pPr>
      <w:r>
        <w:t>Registros com UTI = 9 (Ignorado) foram excluídos da análise. Após a filtragem (removendo registros com sexo indefinido e UTI ignorada), o conjunto final para modelagem contém 127.281 registros, com a seguinte distribuição:</w:t>
      </w:r>
    </w:p>
    <w:p>
      <w:pPr>
        <w:ind w:left="360"/>
      </w:pPr>
      <w:r>
        <w:t>• Não UTI (0): 64.6%</w:t>
      </w:r>
    </w:p>
    <w:p>
      <w:pPr>
        <w:ind w:left="360"/>
      </w:pPr>
      <w:r>
        <w:t>• UTI (1): 35.4%</w:t>
      </w:r>
    </w:p>
    <w:p/>
    <w:p>
      <w:pPr>
        <w:pStyle w:val="Heading3"/>
        <w:jc w:val="left"/>
      </w:pPr>
      <w:r>
        <w:t>2.4. Modelo de Aprendizado de Máquina</w:t>
      </w:r>
    </w:p>
    <w:p/>
    <w:p>
      <w:pPr>
        <w:pStyle w:val="Heading4"/>
        <w:jc w:val="left"/>
      </w:pPr>
      <w:r>
        <w:t>2.4.1. Algoritmo Escolhido: Regressão Logística</w:t>
      </w:r>
    </w:p>
    <w:p/>
    <w:p>
      <w:pPr>
        <w:jc w:val="both"/>
      </w:pPr>
      <w:r>
        <w:t>A Regressão Logística foi escolhida como algoritmo de classificação por apresentar as seguintes vantagens:</w:t>
      </w:r>
    </w:p>
    <w:p/>
    <w:p>
      <w:pPr>
        <w:jc w:val="both"/>
      </w:pPr>
      <w:r>
        <w:t>1. Adequação ao problema: É apropriada para classificação binária, que é o caso deste estudo</w:t>
      </w:r>
    </w:p>
    <w:p>
      <w:pPr>
        <w:jc w:val="both"/>
      </w:pPr>
      <w:r>
        <w:t>2. Interpretabilidade: Os coeficientes do modelo permitem interpretação direta do efeito de cada variável</w:t>
      </w:r>
    </w:p>
    <w:p>
      <w:pPr>
        <w:jc w:val="both"/>
      </w:pPr>
      <w:r>
        <w:t>3. Eficiência computacional: Treina rapidamente mesmo com grandes volumes de dados</w:t>
      </w:r>
    </w:p>
    <w:p>
      <w:pPr>
        <w:jc w:val="both"/>
      </w:pPr>
      <w:r>
        <w:t>4. Capacidade de lidar com variáveis categóricas e numéricas: Permite combinar diferentes tipos de features</w:t>
      </w:r>
    </w:p>
    <w:p/>
    <w:p>
      <w:pPr>
        <w:pStyle w:val="Heading4"/>
        <w:jc w:val="left"/>
      </w:pPr>
      <w:r>
        <w:t>2.4.2. Features Utilizadas</w:t>
      </w:r>
    </w:p>
    <w:p/>
    <w:p>
      <w:pPr>
        <w:jc w:val="both"/>
      </w:pPr>
      <w:r>
        <w:t>As seguintes variáveis foram utilizadas como features preditoras:</w:t>
      </w:r>
    </w:p>
    <w:p/>
    <w:p>
      <w:pPr>
        <w:jc w:val="both"/>
      </w:pPr>
      <w:r>
        <w:t>Variáveis categóricas (transformadas em dummy variables):</w:t>
      </w:r>
    </w:p>
    <w:p>
      <w:pPr>
        <w:ind w:left="360"/>
      </w:pPr>
      <w:r>
        <w:t>• sexo: Masculino (M) ou Feminino (F)</w:t>
      </w:r>
    </w:p>
    <w:p>
      <w:pPr>
        <w:ind w:left="360"/>
      </w:pPr>
      <w:r>
        <w:t>• regiao: Norte (N), Nordeste (NE), Sudeste (SE), Sul (S), Centro-Oeste (CO)</w:t>
      </w:r>
    </w:p>
    <w:p>
      <w:pPr>
        <w:ind w:left="360"/>
      </w:pPr>
      <w:r>
        <w:t>• raca_cor_cat: Branca, Preta, Amarela, Parda, Indígena</w:t>
      </w:r>
    </w:p>
    <w:p>
      <w:pPr>
        <w:ind w:left="360"/>
      </w:pPr>
      <w:r>
        <w:t>• escolaridade: Nível de escolaridade</w:t>
      </w:r>
    </w:p>
    <w:p>
      <w:pPr>
        <w:ind w:left="360"/>
      </w:pPr>
      <w:r>
        <w:t>• gestante: Indica se o paciente é gestante</w:t>
      </w:r>
    </w:p>
    <w:p>
      <w:pPr>
        <w:ind w:left="360"/>
      </w:pPr>
      <w:r>
        <w:t>• hospital: Indica se o paciente foi hospitalizado</w:t>
      </w:r>
    </w:p>
    <w:p>
      <w:pPr>
        <w:ind w:left="360"/>
      </w:pPr>
      <w:r>
        <w:t>• vacina: Indica se o paciente foi vacinado</w:t>
      </w:r>
    </w:p>
    <w:p>
      <w:pPr>
        <w:ind w:left="360"/>
      </w:pPr>
      <w:r>
        <w:t>• evolucao: Evolução do caso</w:t>
      </w:r>
    </w:p>
    <w:p>
      <w:pPr>
        <w:ind w:left="360"/>
      </w:pPr>
      <w:r>
        <w:t>• obesidade: Presença de obesidade</w:t>
      </w:r>
    </w:p>
    <w:p>
      <w:pPr>
        <w:ind w:left="360"/>
      </w:pPr>
      <w:r>
        <w:t>• cardiopati: Presença de cardiopatia</w:t>
      </w:r>
    </w:p>
    <w:p>
      <w:pPr>
        <w:ind w:left="360"/>
      </w:pPr>
      <w:r>
        <w:t>• pneumopati: Presença de pneumopatia</w:t>
      </w:r>
    </w:p>
    <w:p>
      <w:pPr>
        <w:ind w:left="360"/>
      </w:pPr>
      <w:r>
        <w:t>• metabolica: Presença de doença metabólica</w:t>
      </w:r>
    </w:p>
    <w:p>
      <w:pPr>
        <w:ind w:left="360"/>
      </w:pPr>
      <w:r>
        <w:t>• febre: Presença de febre</w:t>
      </w:r>
    </w:p>
    <w:p>
      <w:pPr>
        <w:ind w:left="360"/>
      </w:pPr>
      <w:r>
        <w:t>• tosse: Presença de tosse</w:t>
      </w:r>
    </w:p>
    <w:p>
      <w:pPr>
        <w:ind w:left="360"/>
      </w:pPr>
      <w:r>
        <w:t>• dispneia: Presença de dispneia</w:t>
      </w:r>
    </w:p>
    <w:p/>
    <w:p>
      <w:pPr>
        <w:jc w:val="both"/>
      </w:pPr>
      <w:r>
        <w:t>Variáveis numéricas:</w:t>
      </w:r>
    </w:p>
    <w:p>
      <w:pPr>
        <w:ind w:left="360"/>
      </w:pPr>
      <w:r>
        <w:t>• ano: Ano do registro (2016, 2017, 2018)</w:t>
      </w:r>
    </w:p>
    <w:p>
      <w:pPr>
        <w:ind w:left="360"/>
      </w:pPr>
      <w:r>
        <w:t>• mes: Mês dos primeiros sintomas (1-12)</w:t>
      </w:r>
    </w:p>
    <w:p>
      <w:pPr>
        <w:ind w:left="360"/>
      </w:pPr>
      <w:r>
        <w:t>• idade: Idade do paciente em anos</w:t>
      </w:r>
    </w:p>
    <w:p/>
    <w:p>
      <w:pPr>
        <w:jc w:val="both"/>
      </w:pPr>
      <w:r>
        <w:t>Após a transformação (one-hot encoding com drop_first para evitar multicolinearidade), o modelo utiliza múltiplas features derivadas das variáveis categóricas acima, além das variáveis numéricas.</w:t>
      </w:r>
    </w:p>
    <w:p/>
    <w:p>
      <w:pPr>
        <w:pStyle w:val="Heading4"/>
        <w:jc w:val="left"/>
      </w:pPr>
      <w:r>
        <w:t>2.4.3. Divisão dos Dados</w:t>
      </w:r>
    </w:p>
    <w:p/>
    <w:p>
      <w:pPr>
        <w:jc w:val="both"/>
      </w:pPr>
      <w:r>
        <w:t>Os dados foram divididos em conjuntos de treino e teste:</w:t>
      </w:r>
    </w:p>
    <w:p>
      <w:pPr>
        <w:ind w:left="360"/>
      </w:pPr>
      <w:r>
        <w:t>• Treino: 70% dos dados (aproximadamente 89.096 registros)</w:t>
      </w:r>
    </w:p>
    <w:p>
      <w:pPr>
        <w:ind w:left="360"/>
      </w:pPr>
      <w:r>
        <w:t>• Teste: 30% dos dados (aproximadamente 38.185 registros)</w:t>
      </w:r>
    </w:p>
    <w:p/>
    <w:p>
      <w:pPr>
        <w:jc w:val="both"/>
      </w:pPr>
      <w:r>
        <w:t>A divisão foi realizada com stratify=y para manter a proporção da variável alvo (internado_uti) em ambos os conjuntos, garantindo representatividade.</w:t>
      </w:r>
    </w:p>
    <w:p/>
    <w:p>
      <w:pPr>
        <w:pStyle w:val="Heading4"/>
        <w:jc w:val="left"/>
      </w:pPr>
      <w:r>
        <w:t>2.4.4. Configuração do Modelo</w:t>
      </w:r>
    </w:p>
    <w:p/>
    <w:p>
      <w:pPr>
        <w:jc w:val="both"/>
      </w:pPr>
      <w:r>
        <w:t>O modelo de Regressão Logística foi configurado com os seguintes parâmetros:</w:t>
      </w:r>
    </w:p>
    <w:p>
      <w:pPr>
        <w:ind w:left="360"/>
      </w:pPr>
      <w:r>
        <w:t>• max_iter=1000: Número máximo de iterações para convergência</w:t>
      </w:r>
    </w:p>
    <w:p>
      <w:pPr>
        <w:ind w:left="360"/>
      </w:pPr>
      <w:r>
        <w:t>• class_weight='balanced': Ajuste automático dos pesos das classes para lidar com o desbalanceamento</w:t>
      </w:r>
    </w:p>
    <w:p>
      <w:pPr>
        <w:ind w:left="360"/>
      </w:pPr>
      <w:r>
        <w:t>• random_state=42: Semente aleatória para reprodutibilidade</w:t>
      </w:r>
    </w:p>
    <w:p/>
    <w:p/>
    <w:p/>
    <w:p>
      <w:pPr>
        <w:pStyle w:val="Heading2"/>
        <w:jc w:val="left"/>
      </w:pPr>
      <w:r>
        <w:t>3. Primeiros Resultados</w:t>
      </w:r>
    </w:p>
    <w:p/>
    <w:p>
      <w:pPr>
        <w:pStyle w:val="Heading3"/>
        <w:jc w:val="left"/>
      </w:pPr>
      <w:r>
        <w:t>3.1. Métricas de Avaliação</w:t>
      </w:r>
    </w:p>
    <w:p/>
    <w:p>
      <w:pPr>
        <w:jc w:val="both"/>
      </w:pPr>
      <w:r>
        <w:t>O modelo foi avaliado utilizando as seguintes métricas:</w:t>
      </w:r>
    </w:p>
    <w:p/>
    <w:p>
      <w:pPr>
        <w:pStyle w:val="Heading4"/>
        <w:jc w:val="left"/>
      </w:pPr>
      <w:r>
        <w:t>3.1.1. Acurácia</w:t>
      </w:r>
    </w:p>
    <w:p>
      <w:pPr>
        <w:jc w:val="both"/>
      </w:pPr>
      <w:r>
        <w:t>A acurácia do modelo foi de 52.0%, indicando que o modelo classifica corretamente pouco mais da metade dos casos. Considerando que a classe majoritária (não internado em UTI) representa 64.6% dos dados, a acurácia está próxima do baseline, sugerindo que o modelo tem dificuldade em superar a classe majoritária.</w:t>
      </w:r>
    </w:p>
    <w:p/>
    <w:p>
      <w:pPr>
        <w:pStyle w:val="Heading4"/>
        <w:jc w:val="left"/>
      </w:pPr>
      <w:r>
        <w:t>3.1.2. F1-Score</w:t>
      </w:r>
    </w:p>
    <w:p>
      <w:pPr>
        <w:jc w:val="both"/>
      </w:pPr>
      <w:r>
        <w:t>O F1-Score foi de 0.408, indicando uma performance moderada. Esta métrica é particularmente útil para dados desbalanceados, pois balanceia precisão e recall.</w:t>
      </w:r>
    </w:p>
    <w:p/>
    <w:p>
      <w:pPr>
        <w:pStyle w:val="Heading4"/>
        <w:jc w:val="left"/>
      </w:pPr>
      <w:r>
        <w:t>3.1.3. AUC-ROC</w:t>
      </w:r>
    </w:p>
    <w:p>
      <w:pPr>
        <w:jc w:val="both"/>
      </w:pPr>
      <w:r>
        <w:t>A área sob a curva ROC (AUC-ROC) foi de 0.521, indicando que o modelo possui capacidade discriminativa ligeiramente superior a um classificador aleatório (AUC = 0.5). Este valor sugere que há espaço significativo para melhorias no modelo.</w:t>
      </w:r>
    </w:p>
    <w:p/>
    <w:p>
      <w:pPr>
        <w:pStyle w:val="Heading4"/>
        <w:jc w:val="left"/>
      </w:pPr>
      <w:r>
        <w:t>3.1.4. Matriz de Confusão</w:t>
      </w:r>
    </w:p>
    <w:p/>
    <w:p>
      <w:pPr>
        <w:jc w:val="both"/>
      </w:pPr>
      <w:r>
        <w:t>A matriz de confusão no conjunto de teste apresentou os seguintes resultados:</w:t>
      </w:r>
    </w:p>
    <w:p/>
    <w:p>
      <w:pPr/>
      <w:r>
        <w:t xml:space="preserve"> |                  |  Predito: Não UTI  |  Predito: UTI  | </w:t>
      </w:r>
    </w:p>
    <w:p>
      <w:pPr/>
      <w:r>
        <w:t xml:space="preserve"> | ---------------- | ------------------ | -------------- | </w:t>
      </w:r>
    </w:p>
    <w:p>
      <w:pPr/>
      <w:r>
        <w:t xml:space="preserve"> |  Real: Não UTI  |  11.674 (TN)      |  9.332 (FP)    | </w:t>
      </w:r>
    </w:p>
    <w:p>
      <w:pPr/>
      <w:r>
        <w:t xml:space="preserve"> |  Real: UTI  |  6.435 (FN)        |  5.431 (TP)    | </w:t>
      </w:r>
    </w:p>
    <w:p/>
    <w:p>
      <w:pPr>
        <w:jc w:val="both"/>
      </w:pPr>
      <w:r>
        <w:t>Interpretação:</w:t>
      </w:r>
    </w:p>
    <w:p>
      <w:pPr>
        <w:ind w:left="360"/>
      </w:pPr>
      <w:r>
        <w:t>• Verdadeiros Negativos (TN): 11.674 casos não internados em UTI foram corretamente classificados</w:t>
      </w:r>
    </w:p>
    <w:p>
      <w:pPr>
        <w:ind w:left="360"/>
      </w:pPr>
      <w:r>
        <w:t>• Falsos Positivos (FP): 9.332 casos não internados em UTI foram incorretamente classificados como internados em UTI</w:t>
      </w:r>
    </w:p>
    <w:p>
      <w:pPr>
        <w:ind w:left="360"/>
      </w:pPr>
      <w:r>
        <w:t>• Falsos Negativos (FN): 6.435 casos internados em UTI foram incorretamente classificados como não internados em UTI</w:t>
      </w:r>
    </w:p>
    <w:p>
      <w:pPr>
        <w:ind w:left="360"/>
      </w:pPr>
      <w:r>
        <w:t>• Verdadeiros Positivos (TP): 5.431 casos internados em UTI foram corretamente classificados</w:t>
      </w:r>
    </w:p>
    <w:p/>
    <w:p>
      <w:pPr>
        <w:jc w:val="both"/>
      </w:pPr>
      <w:r>
        <w:t>Métricas derivadas:</w:t>
      </w:r>
    </w:p>
    <w:p>
      <w:pPr>
        <w:ind w:left="360"/>
      </w:pPr>
      <w:r>
        <w:t>• Sensibilidade (Recall - Classe UTI): 45.8% - Dos casos realmente internados em UTI, menos da metade foi identificada corretamente</w:t>
      </w:r>
    </w:p>
    <w:p>
      <w:pPr>
        <w:ind w:left="360"/>
      </w:pPr>
      <w:r>
        <w:t>• Especificidade (Classe Não UTI): 55.6% - Dos casos realmente não internados em UTI, pouco mais da metade foi identificada corretamente</w:t>
      </w:r>
    </w:p>
    <w:p>
      <w:pPr>
        <w:ind w:left="360"/>
      </w:pPr>
      <w:r>
        <w:t>• Precisão (Classe UTI): 36.8% - Dos casos previstos como internados em UTI, apenas 36.8% são realmente internados em UTI</w:t>
      </w:r>
    </w:p>
    <w:p/>
    <w:p>
      <w:pPr>
        <w:pStyle w:val="Heading3"/>
        <w:jc w:val="left"/>
      </w:pPr>
      <w:r>
        <w:t>3.2. Análise do Desbalanceamento</w:t>
      </w:r>
    </w:p>
    <w:p/>
    <w:p>
      <w:pPr>
        <w:jc w:val="both"/>
      </w:pPr>
      <w:r>
        <w:t>O conjunto de dados apresenta um desbalanceamento moderado:</w:t>
      </w:r>
    </w:p>
    <w:p>
      <w:pPr>
        <w:ind w:left="360"/>
      </w:pPr>
      <w:r>
        <w:t>• Não UTI (0): 64.6% dos casos</w:t>
      </w:r>
    </w:p>
    <w:p>
      <w:pPr>
        <w:ind w:left="360"/>
      </w:pPr>
      <w:r>
        <w:t>• UTI (1): 35.4% dos casos</w:t>
      </w:r>
    </w:p>
    <w:p>
      <w:pPr>
        <w:ind w:left="360"/>
      </w:pPr>
      <w:r>
        <w:t>• Razão de desbalanceamento: 1.83:1</w:t>
      </w:r>
    </w:p>
    <w:p/>
    <w:p>
      <w:pPr>
        <w:jc w:val="both"/>
      </w:pPr>
      <w:r>
        <w:t>Este desbalanceamento pode explicar parte da dificuldade do modelo em identificar corretamente a classe minoritária (internado em UTI). O uso de class_weight='balanced' ajuda a compensar esse desbalanceamento, mas pode não ser suficiente para alcançar uma performance ideal.</w:t>
      </w:r>
    </w:p>
    <w:p/>
    <w:p>
      <w:pPr>
        <w:pStyle w:val="Heading3"/>
        <w:jc w:val="left"/>
      </w:pPr>
      <w:r>
        <w:t>3.3. Importância das Variáveis</w:t>
      </w:r>
    </w:p>
    <w:p/>
    <w:p>
      <w:pPr>
        <w:jc w:val="both"/>
      </w:pPr>
      <w:r>
        <w:t>A análise dos coeficientes da Regressão Logística permite identificar quais variáveis têm maior influência na predição da internação em UTI. Os coeficientes indicam:</w:t>
      </w:r>
    </w:p>
    <w:p/>
    <w:p>
      <w:pPr>
        <w:ind w:left="360"/>
      </w:pPr>
      <w:r>
        <w:t>• Coeficientes positivos: Aumentam a probabilidade de internação em UTI</w:t>
      </w:r>
    </w:p>
    <w:p>
      <w:pPr>
        <w:ind w:left="360"/>
      </w:pPr>
      <w:r>
        <w:t>• Coeficientes negativos: Diminuem a probabilidade de internação em UTI</w:t>
      </w:r>
    </w:p>
    <w:p>
      <w:pPr>
        <w:ind w:left="360"/>
      </w:pPr>
      <w:r>
        <w:t>• Valores absolutos maiores: Indicam maior influência na predição</w:t>
      </w:r>
    </w:p>
    <w:p/>
    <w:p>
      <w:pPr>
        <w:jc w:val="both"/>
      </w:pPr>
      <w:r>
        <w:t>As variáveis incluídas no modelo abrangem diferentes dimensões:</w:t>
      </w:r>
    </w:p>
    <w:p>
      <w:pPr>
        <w:ind w:left="360"/>
      </w:pPr>
      <w:r>
        <w:t>• Demográficas: Sexo, Raça/Cor, Idade, Escolaridade, Região</w:t>
      </w:r>
    </w:p>
    <w:p>
      <w:pPr>
        <w:ind w:left="360"/>
      </w:pPr>
      <w:r>
        <w:t>• Clínicas: Comorbidades (obesidade, cardiopatia, pneumopatia, doença metabólica)</w:t>
      </w:r>
    </w:p>
    <w:p>
      <w:pPr>
        <w:ind w:left="360"/>
      </w:pPr>
      <w:r>
        <w:t>• Sintomas: Febre, Tosse, Dispneia</w:t>
      </w:r>
    </w:p>
    <w:p>
      <w:pPr>
        <w:ind w:left="360"/>
      </w:pPr>
      <w:r>
        <w:t>• Acesso à Saúde: Hospitalização, Vacinação, Evolução do caso</w:t>
      </w:r>
    </w:p>
    <w:p/>
    <w:p>
      <w:pPr>
        <w:jc w:val="both"/>
      </w:pPr>
      <w:r>
        <w:t>(Nota: Os valores específicos dos coeficientes serão apresentados após a execução completa do modelo no notebook)</w:t>
      </w:r>
    </w:p>
    <w:p/>
    <w:p>
      <w:pPr>
        <w:pStyle w:val="Heading3"/>
        <w:jc w:val="left"/>
      </w:pPr>
      <w:r>
        <w:t>3.4. Visualizações</w:t>
      </w:r>
    </w:p>
    <w:p/>
    <w:p>
      <w:pPr>
        <w:jc w:val="both"/>
      </w:pPr>
      <w:r>
        <w:t>O modelo gerou as seguintes visualizações:</w:t>
      </w:r>
    </w:p>
    <w:p/>
    <w:p>
      <w:pPr>
        <w:jc w:val="both"/>
      </w:pPr>
      <w:r>
        <w:t>1. Matriz de Confusão (Heatmap): Representação visual da matriz de confusão, facilitando a interpretação dos erros de classificação</w:t>
      </w:r>
    </w:p>
    <w:p>
      <w:pPr>
        <w:jc w:val="both"/>
      </w:pPr>
      <w:r>
        <w:t>2. Curva ROC: Gráfico mostrando a relação entre taxa de verdadeiros positivos e taxa de falsos positivos, com a área sob a curva (AUC) indicada</w:t>
      </w:r>
    </w:p>
    <w:p>
      <w:pPr>
        <w:jc w:val="both"/>
      </w:pPr>
      <w:r>
        <w:t>3. Gráfico de Métricas: Comparação visual das três principais métricas (Acurácia, F1-Score, AUC-ROC)</w:t>
      </w:r>
    </w:p>
    <w:p>
      <w:pPr>
        <w:jc w:val="both"/>
      </w:pPr>
      <w:r>
        <w:t>4. Importância das Variáveis: Gráfico de barras horizontal mostrando os coeficientes de cada variável no modelo</w:t>
      </w:r>
    </w:p>
    <w:p/>
    <w:p/>
    <w:p/>
    <w:p>
      <w:pPr>
        <w:pStyle w:val="Heading2"/>
        <w:jc w:val="left"/>
      </w:pPr>
      <w:r>
        <w:t>4. Discussão Preliminar</w:t>
      </w:r>
    </w:p>
    <w:p/>
    <w:p>
      <w:pPr>
        <w:pStyle w:val="Heading3"/>
        <w:jc w:val="left"/>
      </w:pPr>
      <w:r>
        <w:t>4.1. Performance do Modelo</w:t>
      </w:r>
    </w:p>
    <w:p/>
    <w:p>
      <w:pPr>
        <w:jc w:val="both"/>
      </w:pPr>
      <w:r>
        <w:t>A performance inicial do modelo (Acurácia: 52%, F1-Score: 0.410, AUC-ROC: 0.520) indica que há espaço significativo para melhorias. O modelo está performando apenas ligeiramente melhor que um classificador aleatório, o que sugere que:</w:t>
      </w:r>
    </w:p>
    <w:p/>
    <w:p>
      <w:pPr>
        <w:jc w:val="both"/>
      </w:pPr>
      <w:r>
        <w:t>1. As features atuais podem não ser suficientemente informativas para a tarefa de classificação</w:t>
      </w:r>
    </w:p>
    <w:p>
      <w:pPr>
        <w:jc w:val="both"/>
      </w:pPr>
      <w:r>
        <w:t>2. Pode haver necessidade de engenharia de features adicional (ex: interações entre variáveis)</w:t>
      </w:r>
    </w:p>
    <w:p>
      <w:pPr>
        <w:jc w:val="both"/>
      </w:pPr>
      <w:r>
        <w:t>3. O desbalanceamento, mesmo com tratamento, pode estar impactando a performance</w:t>
      </w:r>
    </w:p>
    <w:p/>
    <w:p>
      <w:pPr>
        <w:pStyle w:val="Heading3"/>
        <w:jc w:val="left"/>
      </w:pPr>
      <w:r>
        <w:t>4.2. Limitações Identificadas</w:t>
      </w:r>
    </w:p>
    <w:p/>
    <w:p>
      <w:pPr>
        <w:jc w:val="both"/>
      </w:pPr>
      <w:r>
        <w:t>1. Dificuldade em identificar a classe minoritária: O modelo tem baixa sensibilidade (45.8%) para a classe UTI, o que é problemático se o objetivo é identificar precocemente pacientes que necessitarão de cuidados intensivos</w:t>
      </w:r>
    </w:p>
    <w:p>
      <w:pPr>
        <w:jc w:val="both"/>
      </w:pPr>
      <w:r>
        <w:t>2. Alta taxa de falsos positivos: 9.332 casos não internados em UTI foram incorretamente classificados como internados em UTI, indicando que o modelo pode estar superestimando a necessidade de cuidados intensivos</w:t>
      </w:r>
    </w:p>
    <w:p>
      <w:pPr>
        <w:jc w:val="both"/>
      </w:pPr>
      <w:r>
        <w:t>3. Alta taxa de falsos negativos: 6.435 casos internados em UTI foram incorretamente classificados como não internados, o que pode ser crítico em um contexto clínico, onde a subestimação da necessidade de UTI pode ter consequências graves</w:t>
      </w:r>
    </w:p>
    <w:p>
      <w:pPr>
        <w:jc w:val="both"/>
      </w:pPr>
      <w:r>
        <w:t>4. Performance próxima ao baseline: A acurácia de 52% está muito próxima da classe majoritária (64.6%), sugerindo que o modelo ainda não está capturando adequadamente os padrões que levam à internação em UTI</w:t>
      </w:r>
    </w:p>
    <w:p/>
    <w:p>
      <w:pPr>
        <w:pStyle w:val="Heading3"/>
        <w:jc w:val="left"/>
      </w:pPr>
      <w:r>
        <w:t>4.3. Próximos Passos</w:t>
      </w:r>
    </w:p>
    <w:p/>
    <w:p>
      <w:pPr>
        <w:jc w:val="both"/>
      </w:pPr>
      <w:r>
        <w:t>Para melhorar a performance do modelo, os seguintes ajustes serão testados:</w:t>
      </w:r>
    </w:p>
    <w:p/>
    <w:p>
      <w:pPr>
        <w:jc w:val="both"/>
      </w:pPr>
      <w:r>
        <w:t>1. Teste de outros algoritmos:</w:t>
      </w:r>
    </w:p>
    <w:p>
      <w:pPr>
        <w:ind w:left="360"/>
      </w:pPr>
      <w:r>
        <w:t>• Árvores de Decisão (melhor interpretabilidade)</w:t>
      </w:r>
    </w:p>
    <w:p>
      <w:pPr>
        <w:ind w:left="360"/>
      </w:pPr>
      <w:r>
        <w:t>• Random Forest (pode capturar interações não-lineares)</w:t>
      </w:r>
    </w:p>
    <w:p>
      <w:pPr>
        <w:ind w:left="360"/>
      </w:pPr>
      <w:r>
        <w:t>• kNN (pode ser útil para padrões locais)</w:t>
      </w:r>
    </w:p>
    <w:p>
      <w:pPr>
        <w:ind w:left="360"/>
      </w:pPr>
      <w:r>
        <w:t>• Naive Bayes (pode ser eficaz para dados categóricos)</w:t>
      </w:r>
    </w:p>
    <w:p/>
    <w:p>
      <w:pPr>
        <w:jc w:val="both"/>
      </w:pPr>
      <w:r>
        <w:t>2. Engenharia de features:</w:t>
      </w:r>
    </w:p>
    <w:p>
      <w:pPr>
        <w:ind w:left="360"/>
      </w:pPr>
      <w:r>
        <w:t>• Criar interações entre variáveis (ex: sexo × região)</w:t>
      </w:r>
    </w:p>
    <w:p>
      <w:pPr>
        <w:ind w:left="360"/>
      </w:pPr>
      <w:r>
        <w:t>• Adicionar variáveis temporais (sazonalidade, tendências)</w:t>
      </w:r>
    </w:p>
    <w:p>
      <w:pPr>
        <w:ind w:left="360"/>
      </w:pPr>
      <w:r>
        <w:t>• Considerar variáveis geográficas adicionais (densidade populacional, IDH)</w:t>
      </w:r>
    </w:p>
    <w:p/>
    <w:p>
      <w:pPr>
        <w:jc w:val="both"/>
      </w:pPr>
      <w:r>
        <w:t>3. Tratamento de desbalanceamento:</w:t>
      </w:r>
    </w:p>
    <w:p>
      <w:pPr>
        <w:ind w:left="360"/>
      </w:pPr>
      <w:r>
        <w:t>• Testar SMOTE (Synthetic Minority Oversampling Technique)</w:t>
      </w:r>
    </w:p>
    <w:p>
      <w:pPr>
        <w:ind w:left="360"/>
      </w:pPr>
      <w:r>
        <w:t>• Ajustar threshold de classificação</w:t>
      </w:r>
    </w:p>
    <w:p>
      <w:pPr>
        <w:ind w:left="360"/>
      </w:pPr>
      <w:r>
        <w:t>• Usar métricas específicas (F1, AUC-ROC) como critério de otimização</w:t>
      </w:r>
    </w:p>
    <w:p/>
    <w:p>
      <w:pPr>
        <w:jc w:val="both"/>
      </w:pPr>
      <w:r>
        <w:t>4. Validação cruzada:</w:t>
      </w:r>
    </w:p>
    <w:p>
      <w:pPr>
        <w:ind w:left="360"/>
      </w:pPr>
      <w:r>
        <w:t>• Implementar k-fold cross-validation para avaliação mais robusta</w:t>
      </w:r>
    </w:p>
    <w:p>
      <w:pPr>
        <w:ind w:left="360"/>
      </w:pPr>
      <w:r>
        <w:t>• Realizar tuning de hiperparâmetros (GridSearchCV ou RandomizedSearchCV)</w:t>
      </w:r>
    </w:p>
    <w:p/>
    <w:p/>
    <w:p/>
    <w:p>
      <w:pPr>
        <w:pStyle w:val="Heading2"/>
        <w:jc w:val="left"/>
      </w:pPr>
      <w:r>
        <w:t>5. Conclusões Preliminares</w:t>
      </w:r>
    </w:p>
    <w:p/>
    <w:p>
      <w:pPr>
        <w:jc w:val="both"/>
      </w:pPr>
      <w:r>
        <w:t>Este estudo apresenta uma primeira abordagem à modelagem preditiva de internação em UTI em casos de SRAG no Brasil. A Regressão Logística foi implementada com sucesso, permitindo uma avaliação inicial do problema. Embora a performance inicial seja moderada, os resultados fornecem insights importantes sobre:</w:t>
      </w:r>
    </w:p>
    <w:p/>
    <w:p>
      <w:pPr>
        <w:jc w:val="both"/>
      </w:pPr>
      <w:r>
        <w:t>1. A distribuição dos casos de SRAG que necessitam de internação em UTI (35.4% dos casos)</w:t>
      </w:r>
    </w:p>
    <w:p>
      <w:pPr>
        <w:jc w:val="both"/>
      </w:pPr>
      <w:r>
        <w:t>2. O impacto do desbalanceamento de classes na performance do modelo</w:t>
      </w:r>
    </w:p>
    <w:p>
      <w:pPr>
        <w:jc w:val="both"/>
      </w:pPr>
      <w:r>
        <w:t>3. A necessidade de ajustes e melhorias para alcançar uma performance mais robusta, especialmente considerando a importância clínica de identificar corretamente pacientes que necessitarão de cuidados intensivos</w:t>
      </w:r>
    </w:p>
    <w:p/>
    <w:p>
      <w:pPr>
        <w:jc w:val="both"/>
      </w:pPr>
      <w:r>
        <w:t>Os próximos passos incluem a exploração de outros algoritmos, engenharia de features adicional (incluindo interações entre variáveis), técnicas mais avançadas de tratamento de desbalanceamento e ajuste de threshold de classificação, visando melhorar a capacidade preditiva e a interpretabilidade do modelo, com foco especial em aumentar a sensibilidade para identificar corretamente os casos que necessitam de internação em UTI.</w:t>
      </w:r>
    </w:p>
    <w:p/>
    <w:p/>
    <w:p/>
    <w:p>
      <w:pPr>
        <w:pStyle w:val="Heading2"/>
        <w:jc w:val="left"/>
      </w:pPr>
      <w:r>
        <w:t>Referências</w:t>
      </w:r>
    </w:p>
    <w:p/>
    <w:p>
      <w:pPr>
        <w:jc w:val="both"/>
      </w:pPr>
      <w:r>
        <w:t>(A ser completado na versão final do artigo)</w:t>
      </w:r>
    </w:p>
    <w:p/>
    <w:p/>
    <w:p/>
    <w:p>
      <w:pPr>
        <w:jc w:val="both"/>
      </w:pPr>
      <w:r>
        <w:t>Data de elaboração: Dezembro de 2024</w:t>
      </w:r>
    </w:p>
    <w:p>
      <w:pPr>
        <w:jc w:val="both"/>
      </w:pPr>
      <w:r>
        <w:t>Versão: Preliminar - Etapa 4</w:t>
      </w:r>
    </w:p>
    <w:p/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2948" w:top="2948" w:left="2494" w:right="2494" w:header="2381" w:footer="232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8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  <w:tab/>
    </w:r>
    <w:r w:rsidDel="00000000" w:rsidR="00000000" w:rsidRPr="00000000">
      <w:rPr>
        <w:rtl w:val="0"/>
      </w:rPr>
      <w:t xml:space="preserve">Davi Henrique Menezes da Cruz e Sabrina de Oliveira Souza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6237"/>
        <w:tab w:val="right" w:leader="none" w:pos="691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 xml:space="preserve">Contribution Title (shortened if too long)</w:t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67" w:hanging="567"/>
      </w:pPr>
      <w:rPr/>
    </w:lvl>
    <w:lvl w:ilvl="1">
      <w:start w:val="1"/>
      <w:numFmt w:val="decimal"/>
      <w:lvlText w:val="%1.%2"/>
      <w:lvlJc w:val="left"/>
      <w:pPr>
        <w:ind w:left="567" w:hanging="567"/>
      </w:pPr>
      <w:rPr/>
    </w:lvl>
    <w:lvl w:ilvl="2">
      <w:start w:val="1"/>
      <w:numFmt w:val="decimal"/>
      <w:lvlText w:val="%1.%2.%3"/>
      <w:lvlJc w:val="left"/>
      <w:pPr>
        <w:ind w:left="851" w:hanging="851"/>
      </w:pPr>
      <w:rPr/>
    </w:lvl>
    <w:lvl w:ilvl="3">
      <w:start w:val="1"/>
      <w:numFmt w:val="decimal"/>
      <w:lvlText w:val="%1.%2.%3.%4"/>
      <w:lvlJc w:val="left"/>
      <w:pPr>
        <w:ind w:left="851" w:hanging="851"/>
      </w:pPr>
      <w:rPr/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ascii="Times New Roman" w:cs="Times New Roman" w:eastAsia="Times New Roman" w:hAnsi="Times New Roman"/>
        <w:b w:val="0"/>
        <w:bCs w:val="0"/>
        <w:i w:val="1"/>
        <w:iCs w:val="1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341" w:hanging="113.99999999999997"/>
      </w:pPr>
      <w:rPr/>
    </w:lvl>
    <w:lvl w:ilvl="1">
      <w:start w:val="1"/>
      <w:numFmt w:val="lowerLetter"/>
      <w:lvlText w:val="%2."/>
      <w:lvlJc w:val="left"/>
      <w:pPr>
        <w:ind w:left="1896" w:hanging="360"/>
      </w:pPr>
      <w:rPr/>
    </w:lvl>
    <w:lvl w:ilvl="2">
      <w:start w:val="1"/>
      <w:numFmt w:val="lowerRoman"/>
      <w:lvlText w:val="%3."/>
      <w:lvlJc w:val="right"/>
      <w:pPr>
        <w:ind w:left="2616" w:hanging="180"/>
      </w:pPr>
      <w:rPr/>
    </w:lvl>
    <w:lvl w:ilvl="3">
      <w:start w:val="1"/>
      <w:numFmt w:val="decimal"/>
      <w:lvlText w:val="%4."/>
      <w:lvlJc w:val="left"/>
      <w:pPr>
        <w:ind w:left="3336" w:hanging="360"/>
      </w:pPr>
      <w:rPr/>
    </w:lvl>
    <w:lvl w:ilvl="4">
      <w:start w:val="1"/>
      <w:numFmt w:val="lowerLetter"/>
      <w:lvlText w:val="%5."/>
      <w:lvlJc w:val="left"/>
      <w:pPr>
        <w:ind w:left="4056" w:hanging="360"/>
      </w:pPr>
      <w:rPr/>
    </w:lvl>
    <w:lvl w:ilvl="5">
      <w:start w:val="1"/>
      <w:numFmt w:val="lowerRoman"/>
      <w:lvlText w:val="%6."/>
      <w:lvlJc w:val="right"/>
      <w:pPr>
        <w:ind w:left="4776" w:hanging="180"/>
      </w:pPr>
      <w:rPr/>
    </w:lvl>
    <w:lvl w:ilvl="6">
      <w:start w:val="1"/>
      <w:numFmt w:val="decimal"/>
      <w:lvlText w:val="%7."/>
      <w:lvlJc w:val="left"/>
      <w:pPr>
        <w:ind w:left="5496" w:hanging="360"/>
      </w:pPr>
      <w:rPr/>
    </w:lvl>
    <w:lvl w:ilvl="7">
      <w:start w:val="1"/>
      <w:numFmt w:val="lowerLetter"/>
      <w:lvlText w:val="%8."/>
      <w:lvlJc w:val="left"/>
      <w:pPr>
        <w:ind w:left="6216" w:hanging="360"/>
      </w:pPr>
      <w:rPr/>
    </w:lvl>
    <w:lvl w:ilvl="8">
      <w:start w:val="1"/>
      <w:numFmt w:val="lowerRoman"/>
      <w:lvlText w:val="%9."/>
      <w:lvlJc w:val="right"/>
      <w:pPr>
        <w:ind w:left="6936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ind w:firstLine="22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Rule="auto"/>
      <w:ind w:left="567" w:hanging="567"/>
      <w:jc w:val="left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6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spacing w:before="360" w:lineRule="auto"/>
      <w:ind w:firstLine="0"/>
    </w:pPr>
    <w:rPr/>
  </w:style>
  <w:style w:type="paragraph" w:styleId="Heading4">
    <w:name w:val="heading 4"/>
    <w:basedOn w:val="Normal"/>
    <w:next w:val="Normal"/>
    <w:pPr>
      <w:spacing w:before="240" w:lineRule="auto"/>
      <w:ind w:firstLine="0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abstract" w:customStyle="1">
    <w:name w:val="abstract"/>
    <w:basedOn w:val="Normal"/>
    <w:pPr>
      <w:spacing w:after="360" w:before="600" w:line="220" w:lineRule="atLeast"/>
      <w:ind w:left="567" w:right="567"/>
      <w:contextualSpacing w:val="1"/>
    </w:pPr>
    <w:rPr>
      <w:sz w:val="18"/>
    </w:rPr>
  </w:style>
  <w:style w:type="paragraph" w:styleId="address" w:customStyle="1">
    <w:name w:val="address"/>
    <w:basedOn w:val="Normal"/>
    <w:pPr>
      <w:spacing w:after="200" w:line="220" w:lineRule="atLeast"/>
      <w:ind w:firstLine="0"/>
      <w:contextualSpacing w:val="1"/>
      <w:jc w:val="center"/>
    </w:pPr>
    <w:rPr>
      <w:sz w:val="18"/>
    </w:rPr>
  </w:style>
  <w:style w:type="numbering" w:styleId="arabnumitem" w:customStyle="1">
    <w:name w:val="arabnumitem"/>
    <w:basedOn w:val="Semlista"/>
    <w:pPr>
      <w:numPr>
        <w:numId w:val="5"/>
      </w:numPr>
    </w:pPr>
  </w:style>
  <w:style w:type="paragraph" w:styleId="author" w:customStyle="1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styleId="bulletitem" w:customStyle="1">
    <w:name w:val="bulletitem"/>
    <w:basedOn w:val="Normal"/>
    <w:pPr>
      <w:numPr>
        <w:numId w:val="2"/>
      </w:numPr>
      <w:spacing w:after="160" w:before="160"/>
      <w:contextualSpacing w:val="1"/>
    </w:pPr>
  </w:style>
  <w:style w:type="paragraph" w:styleId="dashitem" w:customStyle="1">
    <w:name w:val="dashitem"/>
    <w:basedOn w:val="Normal"/>
    <w:pPr>
      <w:numPr>
        <w:numId w:val="4"/>
      </w:numPr>
      <w:spacing w:after="160" w:before="160"/>
      <w:contextualSpacing w:val="1"/>
    </w:pPr>
  </w:style>
  <w:style w:type="character" w:styleId="e-mail" w:customStyle="1">
    <w:name w:val="e-mail"/>
    <w:basedOn w:val="Fontepargpadro"/>
    <w:rPr>
      <w:rFonts w:ascii="Courier" w:hAnsi="Courier"/>
      <w:noProof w:val="1"/>
    </w:rPr>
  </w:style>
  <w:style w:type="paragraph" w:styleId="equation" w:customStyle="1">
    <w:name w:val="equation"/>
    <w:basedOn w:val="Normal"/>
    <w:next w:val="Normal"/>
    <w:pPr>
      <w:tabs>
        <w:tab w:val="center" w:pos="3289"/>
        <w:tab w:val="right" w:pos="6917"/>
      </w:tabs>
      <w:spacing w:after="160" w:before="160"/>
      <w:ind w:firstLine="0"/>
    </w:pPr>
  </w:style>
  <w:style w:type="paragraph" w:styleId="figurecaption" w:customStyle="1">
    <w:name w:val="figurecaption"/>
    <w:basedOn w:val="Normal"/>
    <w:next w:val="Normal"/>
    <w:pPr>
      <w:keepLines w:val="1"/>
      <w:spacing w:after="240" w:before="120" w:line="220" w:lineRule="atLeast"/>
      <w:ind w:firstLine="0"/>
      <w:jc w:val="center"/>
    </w:pPr>
    <w:rPr>
      <w:sz w:val="18"/>
    </w:rPr>
  </w:style>
  <w:style w:type="character" w:styleId="Refdenotaderodap">
    <w:name w:val="footnote reference"/>
    <w:basedOn w:val="Fontepargpadro"/>
    <w:semiHidden w:val="1"/>
    <w:unhideWhenUsed w:val="1"/>
    <w:rPr>
      <w:position w:val="0"/>
      <w:vertAlign w:val="superscript"/>
    </w:rPr>
  </w:style>
  <w:style w:type="paragraph" w:styleId="Rodap">
    <w:name w:val="footer"/>
    <w:basedOn w:val="Normal"/>
    <w:semiHidden w:val="1"/>
    <w:unhideWhenUsed w:val="1"/>
  </w:style>
  <w:style w:type="paragraph" w:styleId="heading1" w:customStyle="1">
    <w:name w:val="heading1"/>
    <w:basedOn w:val="Normal"/>
    <w:next w:val="p1a"/>
    <w:qFormat w:val="1"/>
    <w:pPr>
      <w:keepNext w:val="1"/>
      <w:keepLines w:val="1"/>
      <w:numPr>
        <w:numId w:val="7"/>
      </w:numPr>
      <w:suppressAutoHyphens w:val="1"/>
      <w:spacing w:after="240" w:before="360" w:line="300" w:lineRule="atLeast"/>
      <w:jc w:val="left"/>
      <w:outlineLvl w:val="0"/>
    </w:pPr>
    <w:rPr>
      <w:b w:val="1"/>
      <w:sz w:val="24"/>
    </w:rPr>
  </w:style>
  <w:style w:type="paragraph" w:styleId="heading2" w:customStyle="1">
    <w:name w:val="heading2"/>
    <w:basedOn w:val="Normal"/>
    <w:next w:val="p1a"/>
    <w:qFormat w:val="1"/>
    <w:pPr>
      <w:keepNext w:val="1"/>
      <w:keepLines w:val="1"/>
      <w:numPr>
        <w:ilvl w:val="1"/>
        <w:numId w:val="7"/>
      </w:numPr>
      <w:suppressAutoHyphens w:val="1"/>
      <w:spacing w:after="160" w:before="360"/>
      <w:jc w:val="left"/>
      <w:outlineLvl w:val="1"/>
    </w:pPr>
    <w:rPr>
      <w:b w:val="1"/>
    </w:rPr>
  </w:style>
  <w:style w:type="character" w:styleId="heading3" w:customStyle="1">
    <w:name w:val="heading3"/>
    <w:basedOn w:val="Fontepargpadro"/>
    <w:rPr>
      <w:b w:val="1"/>
    </w:rPr>
  </w:style>
  <w:style w:type="paragraph" w:styleId="acknowlegments" w:customStyle="1">
    <w:name w:val="acknowlegments"/>
    <w:basedOn w:val="Normal"/>
    <w:qFormat w:val="1"/>
    <w:pPr>
      <w:spacing w:before="240" w:line="220" w:lineRule="atLeast"/>
      <w:ind w:firstLine="0"/>
    </w:pPr>
    <w:rPr>
      <w:sz w:val="18"/>
    </w:rPr>
  </w:style>
  <w:style w:type="character" w:styleId="heading4" w:customStyle="1">
    <w:name w:val="heading4"/>
    <w:basedOn w:val="Fontepargpadro"/>
    <w:rPr>
      <w:i w:val="1"/>
    </w:rPr>
  </w:style>
  <w:style w:type="numbering" w:styleId="headings" w:customStyle="1">
    <w:name w:val="headings"/>
    <w:basedOn w:val="arabnumitem"/>
    <w:pPr>
      <w:numPr>
        <w:numId w:val="7"/>
      </w:numPr>
    </w:pPr>
  </w:style>
  <w:style w:type="character" w:styleId="Hyperlink">
    <w:name w:val="Hyperlink"/>
    <w:basedOn w:val="Fontepargpadro"/>
    <w:semiHidden w:val="1"/>
    <w:unhideWhenUsed w:val="1"/>
    <w:rPr>
      <w:color w:val="auto"/>
      <w:u w:val="none"/>
    </w:rPr>
  </w:style>
  <w:style w:type="paragraph" w:styleId="image" w:customStyle="1">
    <w:name w:val="image"/>
    <w:basedOn w:val="Normal"/>
    <w:next w:val="Normal"/>
    <w:pPr>
      <w:spacing w:after="120" w:before="240"/>
      <w:ind w:firstLine="0"/>
      <w:jc w:val="center"/>
    </w:pPr>
  </w:style>
  <w:style w:type="numbering" w:styleId="itemization1" w:customStyle="1">
    <w:name w:val="itemization1"/>
    <w:basedOn w:val="Semlista"/>
    <w:pPr>
      <w:numPr>
        <w:numId w:val="1"/>
      </w:numPr>
    </w:pPr>
  </w:style>
  <w:style w:type="numbering" w:styleId="itemization2" w:customStyle="1">
    <w:name w:val="itemization2"/>
    <w:basedOn w:val="Semlista"/>
    <w:pPr>
      <w:numPr>
        <w:numId w:val="3"/>
      </w:numPr>
    </w:pPr>
  </w:style>
  <w:style w:type="paragraph" w:styleId="keywords" w:customStyle="1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Cabealho">
    <w:name w:val="header"/>
    <w:basedOn w:val="Normal"/>
    <w:semiHidden w:val="1"/>
    <w:unhideWhenUsed w:val="1"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styleId="numitem" w:customStyle="1">
    <w:name w:val="numitem"/>
    <w:basedOn w:val="Normal"/>
    <w:pPr>
      <w:numPr>
        <w:numId w:val="6"/>
      </w:numPr>
      <w:spacing w:after="160" w:before="160"/>
      <w:contextualSpacing w:val="1"/>
    </w:pPr>
  </w:style>
  <w:style w:type="paragraph" w:styleId="p1a" w:customStyle="1">
    <w:name w:val="p1a"/>
    <w:basedOn w:val="Normal"/>
    <w:next w:val="Normal"/>
    <w:pPr>
      <w:ind w:firstLine="0"/>
    </w:pPr>
  </w:style>
  <w:style w:type="paragraph" w:styleId="programcode" w:customStyle="1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after="160" w:before="160"/>
      <w:ind w:firstLine="0"/>
      <w:contextualSpacing w:val="1"/>
      <w:jc w:val="left"/>
    </w:pPr>
    <w:rPr>
      <w:rFonts w:ascii="Courier" w:hAnsi="Courier"/>
    </w:rPr>
  </w:style>
  <w:style w:type="paragraph" w:styleId="referenceitem" w:customStyle="1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styleId="referencelist" w:customStyle="1">
    <w:name w:val="referencelist"/>
    <w:basedOn w:val="Semlista"/>
    <w:semiHidden w:val="1"/>
    <w:pPr>
      <w:numPr>
        <w:numId w:val="8"/>
      </w:numPr>
    </w:pPr>
  </w:style>
  <w:style w:type="paragraph" w:styleId="runningheadleft" w:customStyle="1">
    <w:name w:val="runninghead left"/>
    <w:basedOn w:val="Normal"/>
    <w:pPr>
      <w:tabs>
        <w:tab w:val="left" w:pos="680"/>
      </w:tabs>
      <w:ind w:firstLine="0"/>
      <w:jc w:val="left"/>
    </w:pPr>
    <w:rPr>
      <w:sz w:val="18"/>
      <w:szCs w:val="18"/>
    </w:rPr>
  </w:style>
  <w:style w:type="paragraph" w:styleId="runningheadright" w:customStyle="1">
    <w:name w:val="runninghead right"/>
    <w:basedOn w:val="Normal"/>
    <w:pPr>
      <w:tabs>
        <w:tab w:val="right" w:pos="6237"/>
        <w:tab w:val="right" w:pos="6917"/>
      </w:tabs>
      <w:ind w:firstLine="0"/>
      <w:jc w:val="left"/>
    </w:pPr>
    <w:rPr>
      <w:bCs w:val="1"/>
      <w:sz w:val="18"/>
      <w:szCs w:val="18"/>
    </w:rPr>
  </w:style>
  <w:style w:type="character" w:styleId="Nmerodepgina">
    <w:name w:val="page number"/>
    <w:basedOn w:val="Fontepargpadro"/>
    <w:semiHidden w:val="1"/>
    <w:unhideWhenUsed w:val="1"/>
    <w:rPr>
      <w:sz w:val="18"/>
    </w:rPr>
  </w:style>
  <w:style w:type="paragraph" w:styleId="papertitle" w:customStyle="1">
    <w:name w:val="papertitle"/>
    <w:basedOn w:val="Normal"/>
    <w:next w:val="author"/>
    <w:pPr>
      <w:keepNext w:val="1"/>
      <w:keepLines w:val="1"/>
      <w:suppressAutoHyphens w:val="1"/>
      <w:spacing w:after="480" w:line="360" w:lineRule="atLeast"/>
      <w:ind w:firstLine="0"/>
      <w:jc w:val="center"/>
    </w:pPr>
    <w:rPr>
      <w:b w:val="1"/>
      <w:sz w:val="28"/>
    </w:rPr>
  </w:style>
  <w:style w:type="paragraph" w:styleId="papersubtitle" w:customStyle="1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styleId="tablecaption" w:customStyle="1">
    <w:name w:val="tablecaption"/>
    <w:basedOn w:val="Normal"/>
    <w:next w:val="Normal"/>
    <w:pPr>
      <w:keepNext w:val="1"/>
      <w:keepLines w:val="1"/>
      <w:spacing w:after="120" w:before="240" w:line="220" w:lineRule="atLeast"/>
      <w:ind w:firstLine="0"/>
      <w:jc w:val="center"/>
    </w:pPr>
    <w:rPr>
      <w:sz w:val="18"/>
    </w:rPr>
  </w:style>
  <w:style w:type="character" w:styleId="url" w:customStyle="1">
    <w:name w:val="url"/>
    <w:basedOn w:val="Fontepargpadro"/>
    <w:rPr>
      <w:rFonts w:ascii="Courier" w:hAnsi="Courier"/>
      <w:noProof w:val="1"/>
    </w:rPr>
  </w:style>
  <w:style w:type="character" w:styleId="ORCID" w:customStyle="1">
    <w:name w:val="ORCID"/>
    <w:basedOn w:val="Fontepargpadro"/>
    <w:rPr>
      <w:position w:val="0"/>
      <w:vertAlign w:val="superscript"/>
    </w:rPr>
  </w:style>
  <w:style w:type="paragraph" w:styleId="Textodenotaderodap">
    <w:name w:val="footnote text"/>
    <w:basedOn w:val="Normal"/>
    <w:semiHidden w:val="1"/>
    <w:pPr>
      <w:spacing w:line="220" w:lineRule="atLeast"/>
      <w:ind w:left="227" w:hanging="227"/>
    </w:pPr>
    <w:rPr>
      <w:sz w:val="18"/>
    </w:rPr>
  </w:style>
  <w:style w:type="paragraph" w:styleId="ReferenceLine" w:customStyle="1">
    <w:name w:val="ReferenceLine"/>
    <w:basedOn w:val="p1a"/>
    <w:semiHidden w:val="1"/>
    <w:unhideWhenUsed w:val="1"/>
    <w:pPr>
      <w:spacing w:line="200" w:lineRule="exact"/>
    </w:pPr>
    <w:rPr>
      <w:sz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chart" Target="charts/chart1.xml"/><Relationship Id="rId8" Type="http://schemas.openxmlformats.org/officeDocument/2006/relationships/hyperlink" Target="http://www.springer.com/lncs" TargetMode="Externa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BE4E-410B-82E8-D1B77A0F4C32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E4E-410B-82E8-D1B77A0F4C32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E4E-410B-82E8-D1B77A0F4C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5318528"/>
        <c:axId val="45321216"/>
      </c:lineChart>
      <c:catAx>
        <c:axId val="453185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5321216"/>
        <c:crosses val="autoZero"/>
        <c:auto val="1"/>
        <c:lblAlgn val="ctr"/>
        <c:lblOffset val="100"/>
        <c:tickLblSkip val="5"/>
        <c:noMultiLvlLbl val="0"/>
      </c:catAx>
      <c:valAx>
        <c:axId val="45321216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45318528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IDdkRVDMZfPMZML1P38vuAotbQ==">CgMxLjAyDmguanhsbDIxMTEzM2ZmMg5oLmlnNGN0Y2ZyN3FwMTIOaC41M2NneDdjbHVweGUyDmguaXRmamZnNWs3MzBtMg5oLjlyM2Rjcm02bjdsZTIOaC5xY3Z2cWN5bmNuYXo4AHIhMTgzMXVlQ2Nvdk5oaVlUQjhVZ0VBaUNuWG1hanJvaEQ3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2025-12-10T23:43:00Z</dcterms:created>
  <dc:creator>Sabrina</dc:creator>
</cp:coreProperties>
</file>