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Politica de Escalonamento (A5X)</w:t>
      </w:r>
    </w:p>
    <w:p>
      <w:r>
        <w:t>Como e para quem escalar incidentes.</w:t>
      </w:r>
    </w:p>
    <w:p>
      <w:pPr>
        <w:pStyle w:val="Heading2"/>
      </w:pPr>
      <w:r>
        <w:t>Quem paginar</w:t>
      </w:r>
    </w:p>
    <w:p>
      <w:r>
        <w:t>Cada servico tem um time on-call (oncall_team no catalogo). Servicos RED paginam imediatamente.</w:t>
      </w:r>
    </w:p>
    <w:p>
      <w:pPr>
        <w:pStyle w:val="Heading2"/>
      </w:pPr>
      <w:r>
        <w:t>Horario de pregao</w:t>
      </w:r>
    </w:p>
    <w:p>
      <w:r>
        <w:t>Durante o pregao, mudancas em servicos RED exigem aprovacao dupla.</w:t>
      </w:r>
    </w:p>
    <w:p>
      <w:pPr>
        <w:pStyle w:val="Heading2"/>
      </w:pPr>
      <w:r>
        <w:t>Registro</w:t>
      </w:r>
    </w:p>
    <w:p>
      <w:r>
        <w:t>Toda acao ou escalonamento registra tokens, custo e latencia da decisao para auditoria.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