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CE471" w14:textId="77777777" w:rsidR="00AF7954" w:rsidRPr="00AF7954" w:rsidRDefault="00AF7954" w:rsidP="00557DA1">
      <w:pPr>
        <w:pStyle w:val="Title"/>
      </w:pPr>
      <w:r w:rsidRPr="00AF7954">
        <w:t>Socio-Economic Indicators and Crime: A Regression Analysis of DV and Violent Crime (Queensland)</w:t>
      </w:r>
    </w:p>
    <w:p w14:paraId="7DE47B78"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Author:</w:t>
      </w:r>
      <w:r w:rsidRPr="00AF7954">
        <w:rPr>
          <w:rFonts w:ascii="Arial" w:eastAsiaTheme="majorEastAsia" w:hAnsi="Arial" w:cs="Arial"/>
          <w:spacing w:val="-10"/>
          <w:kern w:val="28"/>
          <w:sz w:val="24"/>
          <w:szCs w:val="24"/>
        </w:rPr>
        <w:t xml:space="preserve"> Davi Santos Meloni</w:t>
      </w:r>
      <w:r w:rsidRPr="00AF7954">
        <w:rPr>
          <w:rFonts w:ascii="Arial" w:eastAsiaTheme="majorEastAsia" w:hAnsi="Arial" w:cs="Arial"/>
          <w:spacing w:val="-10"/>
          <w:kern w:val="28"/>
          <w:sz w:val="24"/>
          <w:szCs w:val="24"/>
        </w:rPr>
        <w:br/>
      </w:r>
      <w:r w:rsidRPr="00AF7954">
        <w:rPr>
          <w:rFonts w:ascii="Arial" w:eastAsiaTheme="majorEastAsia" w:hAnsi="Arial" w:cs="Arial"/>
          <w:b/>
          <w:bCs/>
          <w:spacing w:val="-10"/>
          <w:kern w:val="28"/>
          <w:sz w:val="24"/>
          <w:szCs w:val="24"/>
        </w:rPr>
        <w:t>Date:</w:t>
      </w:r>
      <w:r w:rsidRPr="00AF7954">
        <w:rPr>
          <w:rFonts w:ascii="Arial" w:eastAsiaTheme="majorEastAsia" w:hAnsi="Arial" w:cs="Arial"/>
          <w:spacing w:val="-10"/>
          <w:kern w:val="28"/>
          <w:sz w:val="24"/>
          <w:szCs w:val="24"/>
        </w:rPr>
        <w:t xml:space="preserve"> April 2025</w:t>
      </w:r>
    </w:p>
    <w:p w14:paraId="4161A22E" w14:textId="53C8870B" w:rsidR="00AF7954" w:rsidRPr="00AF7954" w:rsidRDefault="00AF7954" w:rsidP="00AF7954">
      <w:pPr>
        <w:rPr>
          <w:rFonts w:ascii="Arial" w:eastAsiaTheme="majorEastAsia" w:hAnsi="Arial" w:cs="Arial"/>
          <w:spacing w:val="-10"/>
          <w:kern w:val="28"/>
          <w:sz w:val="24"/>
          <w:szCs w:val="24"/>
        </w:rPr>
      </w:pPr>
    </w:p>
    <w:p w14:paraId="5997A031" w14:textId="77777777" w:rsidR="00AF7954" w:rsidRPr="00AF7954" w:rsidRDefault="00AF7954" w:rsidP="00AF7954">
      <w:pPr>
        <w:rPr>
          <w:rStyle w:val="SubtleEmphasis"/>
        </w:rPr>
      </w:pPr>
      <w:r w:rsidRPr="00AF7954">
        <w:rPr>
          <w:rStyle w:val="SubtleEmphasis"/>
          <w:b/>
          <w:bCs/>
        </w:rPr>
        <w:t>Note</w:t>
      </w:r>
      <w:r w:rsidRPr="00AF7954">
        <w:rPr>
          <w:rStyle w:val="SubtleEmphasis"/>
        </w:rPr>
        <w:t xml:space="preserve">: This analysis was conducted as part of a self-guided learning project. While the methods and interpretations are grounded in established statistical practices, this is the author's first attempt at </w:t>
      </w:r>
      <w:proofErr w:type="spellStart"/>
      <w:r w:rsidRPr="00AF7954">
        <w:rPr>
          <w:rStyle w:val="SubtleEmphasis"/>
        </w:rPr>
        <w:t>modeling</w:t>
      </w:r>
      <w:proofErr w:type="spellEnd"/>
      <w:r w:rsidRPr="00AF7954">
        <w:rPr>
          <w:rStyle w:val="SubtleEmphasis"/>
        </w:rPr>
        <w:t xml:space="preserve"> real-world datasets. As such, results should be viewed as exploratory and subject to the typical limitations of an individual learning exercise.</w:t>
      </w:r>
    </w:p>
    <w:p w14:paraId="28E95DB4" w14:textId="4EF18690" w:rsidR="00AF7954" w:rsidRPr="00AF7954" w:rsidRDefault="00AF7954" w:rsidP="00AF7954">
      <w:pPr>
        <w:rPr>
          <w:rFonts w:ascii="Arial" w:eastAsiaTheme="majorEastAsia" w:hAnsi="Arial" w:cs="Arial"/>
          <w:spacing w:val="-10"/>
          <w:kern w:val="28"/>
          <w:sz w:val="24"/>
          <w:szCs w:val="24"/>
        </w:rPr>
      </w:pPr>
    </w:p>
    <w:p w14:paraId="1BBC9D6E" w14:textId="77777777" w:rsidR="00AF7954" w:rsidRPr="00AF7954" w:rsidRDefault="00AF7954" w:rsidP="00557DA1">
      <w:pPr>
        <w:pStyle w:val="Heading1"/>
      </w:pPr>
      <w:r w:rsidRPr="00AF7954">
        <w:t>1. Introduction</w:t>
      </w:r>
    </w:p>
    <w:p w14:paraId="2DF0530A"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The purpose of this analysis is to understand how socio-economic factors, as measured by SEIFA indexes, relate to violent and domestic violence (DV) crime rates in Queensland. This analysis specifically focuses on violent crime and DV-related crime (Breach Domestic Violence Protection Orders), which were chosen due to their severe impact on communities and their strong links to socio-economic disadvantage.</w:t>
      </w:r>
    </w:p>
    <w:p w14:paraId="77AE6472"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By narrowing the scope to these crime categories, the analysis eliminates potential noise from other crimes like property and drug-related offences, which tend to be more closely linked to factors like economic gain and substance abuse. This allows a clearer understanding of the relationship between socio-economic disadvantage and violent interpersonal crimes, which have more direct implications for community wellbeing.</w:t>
      </w:r>
    </w:p>
    <w:p w14:paraId="785063FE" w14:textId="22C42CCA" w:rsidR="00AF7954" w:rsidRPr="00AF7954" w:rsidRDefault="00AF7954" w:rsidP="00AF7954">
      <w:pPr>
        <w:rPr>
          <w:rFonts w:ascii="Arial" w:eastAsiaTheme="majorEastAsia" w:hAnsi="Arial" w:cs="Arial"/>
          <w:spacing w:val="-10"/>
          <w:kern w:val="28"/>
          <w:sz w:val="24"/>
          <w:szCs w:val="24"/>
        </w:rPr>
      </w:pPr>
    </w:p>
    <w:p w14:paraId="3F190DC5" w14:textId="77777777" w:rsidR="00AF7954" w:rsidRPr="00AF7954" w:rsidRDefault="00AF7954" w:rsidP="00557DA1">
      <w:pPr>
        <w:pStyle w:val="Heading1"/>
      </w:pPr>
      <w:r w:rsidRPr="00AF7954">
        <w:t>2. Data Collection and Preparation</w:t>
      </w:r>
    </w:p>
    <w:p w14:paraId="3F321A34" w14:textId="77777777" w:rsidR="00AF7954" w:rsidRPr="00AF7954" w:rsidRDefault="00AF7954" w:rsidP="00557DA1">
      <w:pPr>
        <w:pStyle w:val="Heading2"/>
      </w:pPr>
      <w:r w:rsidRPr="00AF7954">
        <w:t>Crime Data:</w:t>
      </w:r>
    </w:p>
    <w:p w14:paraId="00241C5A" w14:textId="77777777" w:rsidR="00AF7954" w:rsidRPr="00AF7954" w:rsidRDefault="00AF7954" w:rsidP="00AF7954">
      <w:pPr>
        <w:numPr>
          <w:ilvl w:val="0"/>
          <w:numId w:val="22"/>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Sourced from the most recent available reporting period, covering offences from 2018 onward.</w:t>
      </w:r>
    </w:p>
    <w:p w14:paraId="04606BE9" w14:textId="77777777" w:rsidR="00AF7954" w:rsidRPr="00AF7954" w:rsidRDefault="00AF7954" w:rsidP="00AF7954">
      <w:pPr>
        <w:numPr>
          <w:ilvl w:val="0"/>
          <w:numId w:val="22"/>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Raw offence types were consolidated into broader categories, focusing on:</w:t>
      </w:r>
    </w:p>
    <w:p w14:paraId="02187A81" w14:textId="77777777" w:rsidR="00AF7954" w:rsidRPr="00AF7954" w:rsidRDefault="00AF7954" w:rsidP="00AF7954">
      <w:pPr>
        <w:numPr>
          <w:ilvl w:val="1"/>
          <w:numId w:val="22"/>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Violent Crime</w:t>
      </w:r>
    </w:p>
    <w:p w14:paraId="002052D6" w14:textId="77777777" w:rsidR="00AF7954" w:rsidRPr="00AF7954" w:rsidRDefault="00AF7954" w:rsidP="00AF7954">
      <w:pPr>
        <w:numPr>
          <w:ilvl w:val="1"/>
          <w:numId w:val="22"/>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Domestic Violence (DV)-Related Crime (breaches of Domestic Violence Protection Orders)</w:t>
      </w:r>
    </w:p>
    <w:p w14:paraId="7316903C" w14:textId="77777777" w:rsidR="00AF7954" w:rsidRPr="00AF7954" w:rsidRDefault="00AF7954" w:rsidP="00AF7954">
      <w:pPr>
        <w:numPr>
          <w:ilvl w:val="0"/>
          <w:numId w:val="22"/>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Original dataset included 335 Queensland police divisions.</w:t>
      </w:r>
    </w:p>
    <w:p w14:paraId="43A83C42" w14:textId="77777777" w:rsidR="00AF7954" w:rsidRPr="00AF7954" w:rsidRDefault="00AF7954" w:rsidP="00557DA1">
      <w:pPr>
        <w:pStyle w:val="Heading2"/>
      </w:pPr>
      <w:r w:rsidRPr="00AF7954">
        <w:t>Socio-Economic Data:</w:t>
      </w:r>
    </w:p>
    <w:p w14:paraId="281C95CE" w14:textId="77777777" w:rsidR="00AF7954" w:rsidRPr="00AF7954" w:rsidRDefault="00AF7954" w:rsidP="00AF7954">
      <w:pPr>
        <w:numPr>
          <w:ilvl w:val="0"/>
          <w:numId w:val="23"/>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Obtained from the 2021 SEIFA indexes published by the Australian Bureau of Statistics.</w:t>
      </w:r>
    </w:p>
    <w:p w14:paraId="6BABD3E7" w14:textId="77777777" w:rsidR="00AF7954" w:rsidRPr="00AF7954" w:rsidRDefault="00AF7954" w:rsidP="00AF7954">
      <w:pPr>
        <w:numPr>
          <w:ilvl w:val="0"/>
          <w:numId w:val="23"/>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Included the following indexes:</w:t>
      </w:r>
    </w:p>
    <w:p w14:paraId="39ED3D7A" w14:textId="77777777" w:rsidR="00AF7954" w:rsidRPr="00AF7954" w:rsidRDefault="00AF7954" w:rsidP="00AF7954">
      <w:pPr>
        <w:numPr>
          <w:ilvl w:val="1"/>
          <w:numId w:val="23"/>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IRSDA: Index of Relative Socio-Economic Advantage and Disadvantage</w:t>
      </w:r>
    </w:p>
    <w:p w14:paraId="5D5C5533" w14:textId="77777777" w:rsidR="00AF7954" w:rsidRPr="00AF7954" w:rsidRDefault="00AF7954" w:rsidP="00AF7954">
      <w:pPr>
        <w:numPr>
          <w:ilvl w:val="1"/>
          <w:numId w:val="23"/>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IRSD: Index of Relative Socio-Economic Disadvantage</w:t>
      </w:r>
    </w:p>
    <w:p w14:paraId="3A3D643D" w14:textId="77777777" w:rsidR="00AF7954" w:rsidRPr="00AF7954" w:rsidRDefault="00AF7954" w:rsidP="00AF7954">
      <w:pPr>
        <w:numPr>
          <w:ilvl w:val="1"/>
          <w:numId w:val="23"/>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IER: Index of Education and Employment</w:t>
      </w:r>
    </w:p>
    <w:p w14:paraId="603B426A" w14:textId="77777777" w:rsidR="00AF7954" w:rsidRPr="00AF7954" w:rsidRDefault="00AF7954" w:rsidP="00AF7954">
      <w:pPr>
        <w:numPr>
          <w:ilvl w:val="1"/>
          <w:numId w:val="23"/>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lastRenderedPageBreak/>
        <w:t>IEO: Index of Economic Opportunity</w:t>
      </w:r>
    </w:p>
    <w:p w14:paraId="5C6FB692"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Data Matching and Cleaning:</w:t>
      </w:r>
    </w:p>
    <w:p w14:paraId="44BBE59E" w14:textId="77777777" w:rsidR="00AF7954" w:rsidRPr="00AF7954" w:rsidRDefault="00AF7954" w:rsidP="00AF7954">
      <w:pPr>
        <w:numPr>
          <w:ilvl w:val="0"/>
          <w:numId w:val="24"/>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Matched crime data from 335 police divisions to corresponding suburb-level SEIFA indexes.</w:t>
      </w:r>
    </w:p>
    <w:p w14:paraId="7764AB6C" w14:textId="77777777" w:rsidR="00AF7954" w:rsidRPr="00AF7954" w:rsidRDefault="00AF7954" w:rsidP="00AF7954">
      <w:pPr>
        <w:numPr>
          <w:ilvl w:val="0"/>
          <w:numId w:val="24"/>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Excluded divisions that:</w:t>
      </w:r>
    </w:p>
    <w:p w14:paraId="6C1143F2" w14:textId="77777777" w:rsidR="00AF7954" w:rsidRPr="00AF7954" w:rsidRDefault="00AF7954" w:rsidP="00AF7954">
      <w:pPr>
        <w:numPr>
          <w:ilvl w:val="1"/>
          <w:numId w:val="24"/>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Could not be reliably matched to SEIFA suburbs.</w:t>
      </w:r>
    </w:p>
    <w:p w14:paraId="6D68828A" w14:textId="77777777" w:rsidR="00AF7954" w:rsidRPr="00AF7954" w:rsidRDefault="00AF7954" w:rsidP="00AF7954">
      <w:pPr>
        <w:numPr>
          <w:ilvl w:val="1"/>
          <w:numId w:val="24"/>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Had minimal or insufficient population sizes for meaningful analysis.</w:t>
      </w:r>
    </w:p>
    <w:p w14:paraId="5D64CA10" w14:textId="77777777" w:rsidR="00AF7954" w:rsidRPr="00AF7954" w:rsidRDefault="00AF7954" w:rsidP="00AF7954">
      <w:pPr>
        <w:numPr>
          <w:ilvl w:val="0"/>
          <w:numId w:val="24"/>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Final dataset retained 226 matched divisions for analysis.</w:t>
      </w:r>
    </w:p>
    <w:p w14:paraId="7EA8B13C"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pict w14:anchorId="0FFAB75F">
          <v:rect id="_x0000_i1442" style="width:0;height:1.5pt" o:hralign="center" o:hrstd="t" o:hr="t" fillcolor="#a0a0a0" stroked="f"/>
        </w:pict>
      </w:r>
    </w:p>
    <w:p w14:paraId="28A43A71" w14:textId="77777777" w:rsidR="00AF7954" w:rsidRPr="00AF7954" w:rsidRDefault="00AF7954" w:rsidP="00AF7954">
      <w:pPr>
        <w:rPr>
          <w:rFonts w:ascii="Arial" w:eastAsiaTheme="majorEastAsia" w:hAnsi="Arial" w:cs="Arial"/>
          <w:b/>
          <w:bCs/>
          <w:spacing w:val="-10"/>
          <w:kern w:val="28"/>
          <w:sz w:val="24"/>
          <w:szCs w:val="24"/>
        </w:rPr>
      </w:pPr>
      <w:r w:rsidRPr="00AF7954">
        <w:rPr>
          <w:rFonts w:ascii="Arial" w:eastAsiaTheme="majorEastAsia" w:hAnsi="Arial" w:cs="Arial"/>
          <w:b/>
          <w:bCs/>
          <w:spacing w:val="-10"/>
          <w:kern w:val="28"/>
          <w:sz w:val="24"/>
          <w:szCs w:val="24"/>
        </w:rPr>
        <w:t>3. Methodology</w:t>
      </w:r>
    </w:p>
    <w:p w14:paraId="3F62CD67"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Statistical Approach:</w:t>
      </w:r>
    </w:p>
    <w:p w14:paraId="4C6EC5C7" w14:textId="77777777" w:rsidR="00AF7954" w:rsidRPr="00AF7954" w:rsidRDefault="00AF7954" w:rsidP="00AF7954">
      <w:pPr>
        <w:numPr>
          <w:ilvl w:val="0"/>
          <w:numId w:val="25"/>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The analysis employed several methods to explore the relationships between socio-economic factors and crime rates:</w:t>
      </w:r>
    </w:p>
    <w:p w14:paraId="50A64992" w14:textId="77777777" w:rsidR="00AF7954" w:rsidRPr="00AF7954" w:rsidRDefault="00AF7954" w:rsidP="00AF7954">
      <w:pPr>
        <w:numPr>
          <w:ilvl w:val="1"/>
          <w:numId w:val="25"/>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Pearson Correlation:</w:t>
      </w:r>
      <w:r w:rsidRPr="00AF7954">
        <w:rPr>
          <w:rFonts w:ascii="Arial" w:eastAsiaTheme="majorEastAsia" w:hAnsi="Arial" w:cs="Arial"/>
          <w:spacing w:val="-10"/>
          <w:kern w:val="28"/>
          <w:sz w:val="24"/>
          <w:szCs w:val="24"/>
        </w:rPr>
        <w:t xml:space="preserve"> To examine the linear relationships between each SEIFA index and violent/DV crime rates.</w:t>
      </w:r>
    </w:p>
    <w:p w14:paraId="16613D8F" w14:textId="77777777" w:rsidR="00AF7954" w:rsidRPr="00AF7954" w:rsidRDefault="00AF7954" w:rsidP="00AF7954">
      <w:pPr>
        <w:numPr>
          <w:ilvl w:val="1"/>
          <w:numId w:val="25"/>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Simple Linear Regression:</w:t>
      </w:r>
      <w:r w:rsidRPr="00AF7954">
        <w:rPr>
          <w:rFonts w:ascii="Arial" w:eastAsiaTheme="majorEastAsia" w:hAnsi="Arial" w:cs="Arial"/>
          <w:spacing w:val="-10"/>
          <w:kern w:val="28"/>
          <w:sz w:val="24"/>
          <w:szCs w:val="24"/>
        </w:rPr>
        <w:t xml:space="preserve"> To quantify the strength and significance of these relationships.</w:t>
      </w:r>
    </w:p>
    <w:p w14:paraId="2B83506C" w14:textId="77777777" w:rsidR="00AF7954" w:rsidRPr="00AF7954" w:rsidRDefault="00AF7954" w:rsidP="00AF7954">
      <w:pPr>
        <w:numPr>
          <w:ilvl w:val="1"/>
          <w:numId w:val="25"/>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Multicollinearity Check:</w:t>
      </w:r>
      <w:r w:rsidRPr="00AF7954">
        <w:rPr>
          <w:rFonts w:ascii="Arial" w:eastAsiaTheme="majorEastAsia" w:hAnsi="Arial" w:cs="Arial"/>
          <w:spacing w:val="-10"/>
          <w:kern w:val="28"/>
          <w:sz w:val="24"/>
          <w:szCs w:val="24"/>
        </w:rPr>
        <w:t xml:space="preserve"> Correlation analysis and Variance Inflation Factor (VIF) were used to identify and address multicollinearity among the SEIFA indexes.</w:t>
      </w:r>
    </w:p>
    <w:p w14:paraId="67B0FEEC" w14:textId="77777777" w:rsidR="00AF7954" w:rsidRPr="00AF7954" w:rsidRDefault="00AF7954" w:rsidP="00AF7954">
      <w:pPr>
        <w:numPr>
          <w:ilvl w:val="1"/>
          <w:numId w:val="25"/>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Lasso and Ridge Regression:</w:t>
      </w:r>
      <w:r w:rsidRPr="00AF7954">
        <w:rPr>
          <w:rFonts w:ascii="Arial" w:eastAsiaTheme="majorEastAsia" w:hAnsi="Arial" w:cs="Arial"/>
          <w:spacing w:val="-10"/>
          <w:kern w:val="28"/>
          <w:sz w:val="24"/>
          <w:szCs w:val="24"/>
        </w:rPr>
        <w:t xml:space="preserve"> These models were employed to account for multicollinearity and provide more reliable estimates of the relationships.</w:t>
      </w:r>
    </w:p>
    <w:p w14:paraId="0C308CB6"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Model Performance Metrics:</w:t>
      </w:r>
    </w:p>
    <w:p w14:paraId="3D92E7F3" w14:textId="77777777" w:rsidR="00AF7954" w:rsidRPr="00AF7954" w:rsidRDefault="00AF7954" w:rsidP="00AF7954">
      <w:pPr>
        <w:numPr>
          <w:ilvl w:val="0"/>
          <w:numId w:val="26"/>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R² (R-squared):</w:t>
      </w:r>
      <w:r w:rsidRPr="00AF7954">
        <w:rPr>
          <w:rFonts w:ascii="Arial" w:eastAsiaTheme="majorEastAsia" w:hAnsi="Arial" w:cs="Arial"/>
          <w:spacing w:val="-10"/>
          <w:kern w:val="28"/>
          <w:sz w:val="24"/>
          <w:szCs w:val="24"/>
        </w:rPr>
        <w:t xml:space="preserve"> Used to determine how well the models explained the variance in violent and DV crime rates.</w:t>
      </w:r>
    </w:p>
    <w:p w14:paraId="47D93A35" w14:textId="77777777" w:rsidR="00AF7954" w:rsidRPr="00AF7954" w:rsidRDefault="00AF7954" w:rsidP="00AF7954">
      <w:pPr>
        <w:numPr>
          <w:ilvl w:val="0"/>
          <w:numId w:val="26"/>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MSE (Mean Squared Error):</w:t>
      </w:r>
      <w:r w:rsidRPr="00AF7954">
        <w:rPr>
          <w:rFonts w:ascii="Arial" w:eastAsiaTheme="majorEastAsia" w:hAnsi="Arial" w:cs="Arial"/>
          <w:spacing w:val="-10"/>
          <w:kern w:val="28"/>
          <w:sz w:val="24"/>
          <w:szCs w:val="24"/>
        </w:rPr>
        <w:t xml:space="preserve"> Used to evaluate the predictive accuracy of the models.</w:t>
      </w:r>
    </w:p>
    <w:p w14:paraId="739AD06D" w14:textId="5AF6F921" w:rsidR="00AF7954" w:rsidRPr="00AF7954" w:rsidRDefault="00AF7954" w:rsidP="00AF7954">
      <w:pPr>
        <w:rPr>
          <w:rFonts w:ascii="Arial" w:eastAsiaTheme="majorEastAsia" w:hAnsi="Arial" w:cs="Arial"/>
          <w:spacing w:val="-10"/>
          <w:kern w:val="28"/>
          <w:sz w:val="24"/>
          <w:szCs w:val="24"/>
        </w:rPr>
      </w:pPr>
    </w:p>
    <w:p w14:paraId="153AE940" w14:textId="77777777" w:rsidR="00AF7954" w:rsidRPr="00AF7954" w:rsidRDefault="00AF7954" w:rsidP="00AF7954">
      <w:pPr>
        <w:rPr>
          <w:rFonts w:ascii="Arial" w:eastAsiaTheme="majorEastAsia" w:hAnsi="Arial" w:cs="Arial"/>
          <w:b/>
          <w:bCs/>
          <w:spacing w:val="-10"/>
          <w:kern w:val="28"/>
          <w:sz w:val="24"/>
          <w:szCs w:val="24"/>
        </w:rPr>
      </w:pPr>
      <w:r w:rsidRPr="00AF7954">
        <w:rPr>
          <w:rFonts w:ascii="Arial" w:eastAsiaTheme="majorEastAsia" w:hAnsi="Arial" w:cs="Arial"/>
          <w:b/>
          <w:bCs/>
          <w:spacing w:val="-10"/>
          <w:kern w:val="28"/>
          <w:sz w:val="24"/>
          <w:szCs w:val="24"/>
        </w:rPr>
        <w:t>4. Exploratory Data Analysis</w:t>
      </w:r>
    </w:p>
    <w:p w14:paraId="1012F546"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Pearson Correlation Results:</w:t>
      </w:r>
      <w:r w:rsidRPr="00AF7954">
        <w:rPr>
          <w:rFonts w:ascii="Arial" w:eastAsiaTheme="majorEastAsia" w:hAnsi="Arial" w:cs="Arial"/>
          <w:spacing w:val="-10"/>
          <w:kern w:val="28"/>
          <w:sz w:val="24"/>
          <w:szCs w:val="24"/>
        </w:rPr>
        <w:br/>
        <w:t>The Pearson correlation test revealed the following key relationships:</w:t>
      </w:r>
    </w:p>
    <w:p w14:paraId="42583AAC" w14:textId="77777777" w:rsidR="00AF7954" w:rsidRPr="00AF7954" w:rsidRDefault="00AF7954" w:rsidP="00AF7954">
      <w:pPr>
        <w:numPr>
          <w:ilvl w:val="0"/>
          <w:numId w:val="27"/>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IER Score:</w:t>
      </w:r>
      <w:r w:rsidRPr="00AF7954">
        <w:rPr>
          <w:rFonts w:ascii="Arial" w:eastAsiaTheme="majorEastAsia" w:hAnsi="Arial" w:cs="Arial"/>
          <w:spacing w:val="-10"/>
          <w:kern w:val="28"/>
          <w:sz w:val="24"/>
          <w:szCs w:val="24"/>
        </w:rPr>
        <w:t xml:space="preserve"> Moderately strong negative correlation (r = -0.610, p &lt; 0.001). Suburbs with higher economic resources tend to have lower violent/DV crime rates.</w:t>
      </w:r>
    </w:p>
    <w:p w14:paraId="4DCFB3D2" w14:textId="77777777" w:rsidR="00AF7954" w:rsidRPr="00AF7954" w:rsidRDefault="00AF7954" w:rsidP="00AF7954">
      <w:pPr>
        <w:numPr>
          <w:ilvl w:val="0"/>
          <w:numId w:val="27"/>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IRSD Score:</w:t>
      </w:r>
      <w:r w:rsidRPr="00AF7954">
        <w:rPr>
          <w:rFonts w:ascii="Arial" w:eastAsiaTheme="majorEastAsia" w:hAnsi="Arial" w:cs="Arial"/>
          <w:spacing w:val="-10"/>
          <w:kern w:val="28"/>
          <w:sz w:val="24"/>
          <w:szCs w:val="24"/>
        </w:rPr>
        <w:t xml:space="preserve"> Moderate negative correlation (r = -0.510, p &lt; 0.001). Areas with greater socio-economic disadvantage have higher crime rates.</w:t>
      </w:r>
    </w:p>
    <w:p w14:paraId="3432693D" w14:textId="77777777" w:rsidR="00AF7954" w:rsidRPr="00AF7954" w:rsidRDefault="00AF7954" w:rsidP="00AF7954">
      <w:pPr>
        <w:numPr>
          <w:ilvl w:val="0"/>
          <w:numId w:val="27"/>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IRSDA Score:</w:t>
      </w:r>
      <w:r w:rsidRPr="00AF7954">
        <w:rPr>
          <w:rFonts w:ascii="Arial" w:eastAsiaTheme="majorEastAsia" w:hAnsi="Arial" w:cs="Arial"/>
          <w:spacing w:val="-10"/>
          <w:kern w:val="28"/>
          <w:sz w:val="24"/>
          <w:szCs w:val="24"/>
        </w:rPr>
        <w:t xml:space="preserve"> Weaker negative correlation (r = -0.327, p &lt; 0.001), consistent with the overall trend but weaker in magnitude.</w:t>
      </w:r>
    </w:p>
    <w:p w14:paraId="0CFC1CDC" w14:textId="77777777" w:rsidR="00AF7954" w:rsidRPr="00AF7954" w:rsidRDefault="00AF7954" w:rsidP="00AF7954">
      <w:pPr>
        <w:numPr>
          <w:ilvl w:val="0"/>
          <w:numId w:val="27"/>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IEO Score:</w:t>
      </w:r>
      <w:r w:rsidRPr="00AF7954">
        <w:rPr>
          <w:rFonts w:ascii="Arial" w:eastAsiaTheme="majorEastAsia" w:hAnsi="Arial" w:cs="Arial"/>
          <w:spacing w:val="-10"/>
          <w:kern w:val="28"/>
          <w:sz w:val="24"/>
          <w:szCs w:val="24"/>
        </w:rPr>
        <w:t xml:space="preserve"> No significant correlation (r = -0.105, p = 0.114). The lack of statistical significance suggests that education and occupation factors alone may not explain violent or DV crime rates effectively.</w:t>
      </w:r>
    </w:p>
    <w:p w14:paraId="3EEBD347" w14:textId="4FC04639" w:rsidR="00AF7954" w:rsidRPr="00AF7954" w:rsidRDefault="00AF7954" w:rsidP="00AF7954">
      <w:pPr>
        <w:rPr>
          <w:rFonts w:ascii="Arial" w:eastAsiaTheme="majorEastAsia" w:hAnsi="Arial" w:cs="Arial"/>
          <w:spacing w:val="-10"/>
          <w:kern w:val="28"/>
          <w:sz w:val="24"/>
          <w:szCs w:val="24"/>
        </w:rPr>
      </w:pPr>
    </w:p>
    <w:p w14:paraId="78151CD6" w14:textId="77777777" w:rsidR="00AF7954" w:rsidRPr="00AF7954" w:rsidRDefault="00AF7954" w:rsidP="00AF7954">
      <w:pPr>
        <w:rPr>
          <w:rFonts w:ascii="Arial" w:eastAsiaTheme="majorEastAsia" w:hAnsi="Arial" w:cs="Arial"/>
          <w:b/>
          <w:bCs/>
          <w:spacing w:val="-10"/>
          <w:kern w:val="28"/>
          <w:sz w:val="24"/>
          <w:szCs w:val="24"/>
        </w:rPr>
      </w:pPr>
      <w:r w:rsidRPr="00AF7954">
        <w:rPr>
          <w:rFonts w:ascii="Arial" w:eastAsiaTheme="majorEastAsia" w:hAnsi="Arial" w:cs="Arial"/>
          <w:b/>
          <w:bCs/>
          <w:spacing w:val="-10"/>
          <w:kern w:val="28"/>
          <w:sz w:val="24"/>
          <w:szCs w:val="24"/>
        </w:rPr>
        <w:lastRenderedPageBreak/>
        <w:t>5. Simple Linear Regression Analysis</w:t>
      </w:r>
    </w:p>
    <w:p w14:paraId="5D0039F9"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Regression Results:</w:t>
      </w:r>
      <w:r w:rsidRPr="00AF7954">
        <w:rPr>
          <w:rFonts w:ascii="Arial" w:eastAsiaTheme="majorEastAsia" w:hAnsi="Arial" w:cs="Arial"/>
          <w:spacing w:val="-10"/>
          <w:kern w:val="28"/>
          <w:sz w:val="24"/>
          <w:szCs w:val="24"/>
        </w:rPr>
        <w:br/>
        <w:t>The R² values for each index in the simple linear regression models were as follows:</w:t>
      </w:r>
    </w:p>
    <w:p w14:paraId="6CBCE596" w14:textId="77777777" w:rsidR="00AF7954" w:rsidRPr="00AF7954" w:rsidRDefault="00AF7954" w:rsidP="00AF7954">
      <w:pPr>
        <w:numPr>
          <w:ilvl w:val="0"/>
          <w:numId w:val="28"/>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IER Score:</w:t>
      </w:r>
      <w:r w:rsidRPr="00AF7954">
        <w:rPr>
          <w:rFonts w:ascii="Arial" w:eastAsiaTheme="majorEastAsia" w:hAnsi="Arial" w:cs="Arial"/>
          <w:spacing w:val="-10"/>
          <w:kern w:val="28"/>
          <w:sz w:val="24"/>
          <w:szCs w:val="24"/>
        </w:rPr>
        <w:t xml:space="preserve"> R² ≈ 26%, explaining approximately 26% of the variance in violent/DV crime rates.</w:t>
      </w:r>
    </w:p>
    <w:p w14:paraId="25C0AD6B" w14:textId="77777777" w:rsidR="00AF7954" w:rsidRPr="00AF7954" w:rsidRDefault="00AF7954" w:rsidP="00AF7954">
      <w:pPr>
        <w:numPr>
          <w:ilvl w:val="0"/>
          <w:numId w:val="28"/>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IRSD Score:</w:t>
      </w:r>
      <w:r w:rsidRPr="00AF7954">
        <w:rPr>
          <w:rFonts w:ascii="Arial" w:eastAsiaTheme="majorEastAsia" w:hAnsi="Arial" w:cs="Arial"/>
          <w:spacing w:val="-10"/>
          <w:kern w:val="28"/>
          <w:sz w:val="24"/>
          <w:szCs w:val="24"/>
        </w:rPr>
        <w:t xml:space="preserve"> R² ≈ 20%, explaining around 20% of the variance.</w:t>
      </w:r>
    </w:p>
    <w:p w14:paraId="6BC9BA82" w14:textId="77777777" w:rsidR="00AF7954" w:rsidRPr="00AF7954" w:rsidRDefault="00AF7954" w:rsidP="00AF7954">
      <w:pPr>
        <w:numPr>
          <w:ilvl w:val="0"/>
          <w:numId w:val="28"/>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IRSDA Score:</w:t>
      </w:r>
      <w:r w:rsidRPr="00AF7954">
        <w:rPr>
          <w:rFonts w:ascii="Arial" w:eastAsiaTheme="majorEastAsia" w:hAnsi="Arial" w:cs="Arial"/>
          <w:spacing w:val="-10"/>
          <w:kern w:val="28"/>
          <w:sz w:val="24"/>
          <w:szCs w:val="24"/>
        </w:rPr>
        <w:t xml:space="preserve"> R² ≈ 9%, indicating a weaker explanatory power.</w:t>
      </w:r>
    </w:p>
    <w:p w14:paraId="350508DC" w14:textId="77777777" w:rsidR="00AF7954" w:rsidRPr="00AF7954" w:rsidRDefault="00AF7954" w:rsidP="00AF7954">
      <w:pPr>
        <w:numPr>
          <w:ilvl w:val="0"/>
          <w:numId w:val="28"/>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IEO Score:</w:t>
      </w:r>
      <w:r w:rsidRPr="00AF7954">
        <w:rPr>
          <w:rFonts w:ascii="Arial" w:eastAsiaTheme="majorEastAsia" w:hAnsi="Arial" w:cs="Arial"/>
          <w:spacing w:val="-10"/>
          <w:kern w:val="28"/>
          <w:sz w:val="24"/>
          <w:szCs w:val="24"/>
        </w:rPr>
        <w:t xml:space="preserve"> R² &lt; 2%, indicating a very weak relationship.</w:t>
      </w:r>
    </w:p>
    <w:p w14:paraId="1D31AEAD"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Model Comparison:</w:t>
      </w:r>
      <w:r w:rsidRPr="00AF7954">
        <w:rPr>
          <w:rFonts w:ascii="Arial" w:eastAsiaTheme="majorEastAsia" w:hAnsi="Arial" w:cs="Arial"/>
          <w:spacing w:val="-10"/>
          <w:kern w:val="28"/>
          <w:sz w:val="24"/>
          <w:szCs w:val="24"/>
        </w:rPr>
        <w:br/>
        <w:t>The Pearson correlation and R² values from the linear regression provided complementary insights. For instance, IER had the strongest negative correlation (r = -0.610), and this was reflected in the high R² (~26%), indicating that IER is a significant predictor of violent/DV crime rates.</w:t>
      </w:r>
    </w:p>
    <w:p w14:paraId="1606D2A8"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Visualisation</w:t>
      </w:r>
      <w:r w:rsidRPr="00AF7954">
        <w:rPr>
          <w:rFonts w:ascii="Arial" w:eastAsiaTheme="majorEastAsia" w:hAnsi="Arial" w:cs="Arial"/>
          <w:spacing w:val="-10"/>
          <w:kern w:val="28"/>
          <w:sz w:val="24"/>
          <w:szCs w:val="24"/>
        </w:rPr>
        <w:br/>
      </w:r>
      <w:r w:rsidRPr="00AF7954">
        <w:rPr>
          <w:rFonts w:ascii="Arial" w:eastAsiaTheme="majorEastAsia" w:hAnsi="Arial" w:cs="Arial"/>
          <w:i/>
          <w:iCs/>
          <w:spacing w:val="-10"/>
          <w:kern w:val="28"/>
          <w:sz w:val="24"/>
          <w:szCs w:val="24"/>
        </w:rPr>
        <w:t>(Placeholder for charts/plots as per original document.)</w:t>
      </w:r>
    </w:p>
    <w:p w14:paraId="1ECC262A" w14:textId="1E52CD61" w:rsidR="00AF7954" w:rsidRPr="00AF7954" w:rsidRDefault="00AF7954" w:rsidP="00AF7954">
      <w:pPr>
        <w:rPr>
          <w:rFonts w:ascii="Arial" w:eastAsiaTheme="majorEastAsia" w:hAnsi="Arial" w:cs="Arial"/>
          <w:spacing w:val="-10"/>
          <w:kern w:val="28"/>
          <w:sz w:val="24"/>
          <w:szCs w:val="24"/>
        </w:rPr>
      </w:pPr>
    </w:p>
    <w:p w14:paraId="18E0D667" w14:textId="77777777" w:rsidR="00AF7954" w:rsidRPr="00AF7954" w:rsidRDefault="00AF7954" w:rsidP="00AF7954">
      <w:pPr>
        <w:rPr>
          <w:rFonts w:ascii="Arial" w:eastAsiaTheme="majorEastAsia" w:hAnsi="Arial" w:cs="Arial"/>
          <w:b/>
          <w:bCs/>
          <w:spacing w:val="-10"/>
          <w:kern w:val="28"/>
          <w:sz w:val="24"/>
          <w:szCs w:val="24"/>
        </w:rPr>
      </w:pPr>
      <w:r w:rsidRPr="00AF7954">
        <w:rPr>
          <w:rFonts w:ascii="Arial" w:eastAsiaTheme="majorEastAsia" w:hAnsi="Arial" w:cs="Arial"/>
          <w:b/>
          <w:bCs/>
          <w:spacing w:val="-10"/>
          <w:kern w:val="28"/>
          <w:sz w:val="24"/>
          <w:szCs w:val="24"/>
        </w:rPr>
        <w:t>6. Addressing Multicollinearity</w:t>
      </w:r>
    </w:p>
    <w:p w14:paraId="048DE94A"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VIF and Correlation Check:</w:t>
      </w:r>
    </w:p>
    <w:p w14:paraId="533B7461" w14:textId="77777777" w:rsidR="00AF7954" w:rsidRPr="00AF7954" w:rsidRDefault="00AF7954" w:rsidP="00AF7954">
      <w:pPr>
        <w:numPr>
          <w:ilvl w:val="0"/>
          <w:numId w:val="29"/>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A correlation analysis and VIF calculation revealed significant multicollinearity among all the SEIFA indexes, even when subtracting different indexes from the analysis.</w:t>
      </w:r>
    </w:p>
    <w:p w14:paraId="2AEC856E" w14:textId="77777777" w:rsidR="00AF7954" w:rsidRPr="00AF7954" w:rsidRDefault="00AF7954" w:rsidP="00AF7954">
      <w:pPr>
        <w:numPr>
          <w:ilvl w:val="0"/>
          <w:numId w:val="29"/>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To account for multicollinearity, Lasso and Ridge regression models were employed, which are better suited to handle correlated predictors.</w:t>
      </w:r>
    </w:p>
    <w:p w14:paraId="4EC79EC8" w14:textId="699DBF74" w:rsidR="00AF7954" w:rsidRPr="00AF7954" w:rsidRDefault="00AF7954" w:rsidP="00AF7954">
      <w:pPr>
        <w:rPr>
          <w:rFonts w:ascii="Arial" w:eastAsiaTheme="majorEastAsia" w:hAnsi="Arial" w:cs="Arial"/>
          <w:spacing w:val="-10"/>
          <w:kern w:val="28"/>
          <w:sz w:val="24"/>
          <w:szCs w:val="24"/>
        </w:rPr>
      </w:pPr>
    </w:p>
    <w:p w14:paraId="5B2345FB" w14:textId="77777777" w:rsidR="00AF7954" w:rsidRPr="00AF7954" w:rsidRDefault="00AF7954" w:rsidP="00AF7954">
      <w:pPr>
        <w:rPr>
          <w:rFonts w:ascii="Arial" w:eastAsiaTheme="majorEastAsia" w:hAnsi="Arial" w:cs="Arial"/>
          <w:b/>
          <w:bCs/>
          <w:spacing w:val="-10"/>
          <w:kern w:val="28"/>
          <w:sz w:val="24"/>
          <w:szCs w:val="24"/>
        </w:rPr>
      </w:pPr>
      <w:r w:rsidRPr="00AF7954">
        <w:rPr>
          <w:rFonts w:ascii="Arial" w:eastAsiaTheme="majorEastAsia" w:hAnsi="Arial" w:cs="Arial"/>
          <w:b/>
          <w:bCs/>
          <w:spacing w:val="-10"/>
          <w:kern w:val="28"/>
          <w:sz w:val="24"/>
          <w:szCs w:val="24"/>
        </w:rPr>
        <w:t>7. Lasso and Ridge Regression Results</w:t>
      </w:r>
    </w:p>
    <w:p w14:paraId="73409A87"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Lasso and Ridge Model Coefficients:</w:t>
      </w:r>
      <w:r w:rsidRPr="00AF7954">
        <w:rPr>
          <w:rFonts w:ascii="Arial" w:eastAsiaTheme="majorEastAsia" w:hAnsi="Arial" w:cs="Arial"/>
          <w:spacing w:val="-10"/>
          <w:kern w:val="28"/>
          <w:sz w:val="24"/>
          <w:szCs w:val="24"/>
        </w:rPr>
        <w:br/>
        <w:t>The coefficients from the Lasso and Ridge regression models confirmed the findings from the Pearson correlation and linear regression:</w:t>
      </w:r>
    </w:p>
    <w:p w14:paraId="10751FE9" w14:textId="77777777" w:rsidR="00AF7954" w:rsidRPr="00AF7954" w:rsidRDefault="00AF7954" w:rsidP="00AF7954">
      <w:pPr>
        <w:numPr>
          <w:ilvl w:val="0"/>
          <w:numId w:val="30"/>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Lasso:</w:t>
      </w:r>
    </w:p>
    <w:p w14:paraId="7855F2A6" w14:textId="77777777" w:rsidR="00AF7954" w:rsidRPr="00AF7954" w:rsidRDefault="00AF7954" w:rsidP="00AF7954">
      <w:pPr>
        <w:numPr>
          <w:ilvl w:val="1"/>
          <w:numId w:val="30"/>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IRSDA (0.0)</w:t>
      </w:r>
    </w:p>
    <w:p w14:paraId="144AD5AD" w14:textId="77777777" w:rsidR="00AF7954" w:rsidRPr="00AF7954" w:rsidRDefault="00AF7954" w:rsidP="00AF7954">
      <w:pPr>
        <w:numPr>
          <w:ilvl w:val="1"/>
          <w:numId w:val="30"/>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IRSD (-0.256)</w:t>
      </w:r>
    </w:p>
    <w:p w14:paraId="15F3FBA2" w14:textId="77777777" w:rsidR="00AF7954" w:rsidRPr="00AF7954" w:rsidRDefault="00AF7954" w:rsidP="00AF7954">
      <w:pPr>
        <w:numPr>
          <w:ilvl w:val="1"/>
          <w:numId w:val="30"/>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IER (-0.337)</w:t>
      </w:r>
    </w:p>
    <w:p w14:paraId="4C0928A7" w14:textId="77777777" w:rsidR="00AF7954" w:rsidRPr="00AF7954" w:rsidRDefault="00AF7954" w:rsidP="00AF7954">
      <w:pPr>
        <w:numPr>
          <w:ilvl w:val="1"/>
          <w:numId w:val="30"/>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IEO (0.259)</w:t>
      </w:r>
    </w:p>
    <w:p w14:paraId="16696E5B" w14:textId="77777777" w:rsidR="00AF7954" w:rsidRPr="00AF7954" w:rsidRDefault="00AF7954" w:rsidP="00AF7954">
      <w:pPr>
        <w:numPr>
          <w:ilvl w:val="0"/>
          <w:numId w:val="30"/>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Ridge:</w:t>
      </w:r>
    </w:p>
    <w:p w14:paraId="65BB4ACF" w14:textId="77777777" w:rsidR="00AF7954" w:rsidRPr="00AF7954" w:rsidRDefault="00AF7954" w:rsidP="00AF7954">
      <w:pPr>
        <w:numPr>
          <w:ilvl w:val="1"/>
          <w:numId w:val="30"/>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IRSDA (0.042)</w:t>
      </w:r>
    </w:p>
    <w:p w14:paraId="5D31D86A" w14:textId="77777777" w:rsidR="00AF7954" w:rsidRPr="00AF7954" w:rsidRDefault="00AF7954" w:rsidP="00AF7954">
      <w:pPr>
        <w:numPr>
          <w:ilvl w:val="1"/>
          <w:numId w:val="30"/>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IRSD (-0.288)</w:t>
      </w:r>
    </w:p>
    <w:p w14:paraId="5C4845F4" w14:textId="77777777" w:rsidR="00AF7954" w:rsidRPr="00AF7954" w:rsidRDefault="00AF7954" w:rsidP="00AF7954">
      <w:pPr>
        <w:numPr>
          <w:ilvl w:val="1"/>
          <w:numId w:val="30"/>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IER (-0.325)</w:t>
      </w:r>
    </w:p>
    <w:p w14:paraId="5BB08D9C" w14:textId="77777777" w:rsidR="00AF7954" w:rsidRPr="00AF7954" w:rsidRDefault="00AF7954" w:rsidP="00AF7954">
      <w:pPr>
        <w:numPr>
          <w:ilvl w:val="1"/>
          <w:numId w:val="30"/>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IEO (0.237)</w:t>
      </w:r>
    </w:p>
    <w:p w14:paraId="1F359010"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Both models show IER as a key predictor, with a negative relationship to crime rates, confirming that higher economic resources are associated with lower crime rates.</w:t>
      </w:r>
    </w:p>
    <w:p w14:paraId="64E468FD"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lastRenderedPageBreak/>
        <w:t>Model Performance Comparison:</w:t>
      </w:r>
      <w:r w:rsidRPr="00AF7954">
        <w:rPr>
          <w:rFonts w:ascii="Arial" w:eastAsiaTheme="majorEastAsia" w:hAnsi="Arial" w:cs="Arial"/>
          <w:spacing w:val="-10"/>
          <w:kern w:val="28"/>
          <w:sz w:val="24"/>
          <w:szCs w:val="24"/>
        </w:rPr>
        <w:br/>
        <w:t>Both models provided similar performance metrics:</w:t>
      </w:r>
    </w:p>
    <w:p w14:paraId="299C8E13" w14:textId="77777777" w:rsidR="00AF7954" w:rsidRPr="00AF7954" w:rsidRDefault="00AF7954" w:rsidP="00AF7954">
      <w:pPr>
        <w:numPr>
          <w:ilvl w:val="0"/>
          <w:numId w:val="31"/>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R² (Lasso):</w:t>
      </w:r>
      <w:r w:rsidRPr="00AF7954">
        <w:rPr>
          <w:rFonts w:ascii="Arial" w:eastAsiaTheme="majorEastAsia" w:hAnsi="Arial" w:cs="Arial"/>
          <w:spacing w:val="-10"/>
          <w:kern w:val="28"/>
          <w:sz w:val="24"/>
          <w:szCs w:val="24"/>
        </w:rPr>
        <w:t xml:space="preserve"> 0.307</w:t>
      </w:r>
    </w:p>
    <w:p w14:paraId="76033269" w14:textId="77777777" w:rsidR="00AF7954" w:rsidRPr="00AF7954" w:rsidRDefault="00AF7954" w:rsidP="00AF7954">
      <w:pPr>
        <w:numPr>
          <w:ilvl w:val="0"/>
          <w:numId w:val="31"/>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R² (Ridge):</w:t>
      </w:r>
      <w:r w:rsidRPr="00AF7954">
        <w:rPr>
          <w:rFonts w:ascii="Arial" w:eastAsiaTheme="majorEastAsia" w:hAnsi="Arial" w:cs="Arial"/>
          <w:spacing w:val="-10"/>
          <w:kern w:val="28"/>
          <w:sz w:val="24"/>
          <w:szCs w:val="24"/>
        </w:rPr>
        <w:t xml:space="preserve"> 0.307</w:t>
      </w:r>
    </w:p>
    <w:p w14:paraId="73B1D93B" w14:textId="77777777" w:rsidR="00AF7954" w:rsidRPr="00AF7954" w:rsidRDefault="00AF7954" w:rsidP="00AF7954">
      <w:pPr>
        <w:numPr>
          <w:ilvl w:val="0"/>
          <w:numId w:val="31"/>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MSE (Lasso):</w:t>
      </w:r>
      <w:r w:rsidRPr="00AF7954">
        <w:rPr>
          <w:rFonts w:ascii="Arial" w:eastAsiaTheme="majorEastAsia" w:hAnsi="Arial" w:cs="Arial"/>
          <w:spacing w:val="-10"/>
          <w:kern w:val="28"/>
          <w:sz w:val="24"/>
          <w:szCs w:val="24"/>
        </w:rPr>
        <w:t xml:space="preserve"> 0.532</w:t>
      </w:r>
    </w:p>
    <w:p w14:paraId="08E7ACA4" w14:textId="77777777" w:rsidR="00AF7954" w:rsidRPr="00AF7954" w:rsidRDefault="00AF7954" w:rsidP="00AF7954">
      <w:pPr>
        <w:numPr>
          <w:ilvl w:val="0"/>
          <w:numId w:val="31"/>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MSE (Ridge):</w:t>
      </w:r>
      <w:r w:rsidRPr="00AF7954">
        <w:rPr>
          <w:rFonts w:ascii="Arial" w:eastAsiaTheme="majorEastAsia" w:hAnsi="Arial" w:cs="Arial"/>
          <w:spacing w:val="-10"/>
          <w:kern w:val="28"/>
          <w:sz w:val="24"/>
          <w:szCs w:val="24"/>
        </w:rPr>
        <w:t xml:space="preserve"> 0.532</w:t>
      </w:r>
    </w:p>
    <w:p w14:paraId="3AD6BAF6"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The close agreement between the models indicates reliable and consistent results, suggesting that IER plays a somewhat important role in predicting violent and DV crimes.</w:t>
      </w:r>
    </w:p>
    <w:p w14:paraId="5ACF4FB9"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Visualisation</w:t>
      </w:r>
      <w:r w:rsidRPr="00AF7954">
        <w:rPr>
          <w:rFonts w:ascii="Arial" w:eastAsiaTheme="majorEastAsia" w:hAnsi="Arial" w:cs="Arial"/>
          <w:spacing w:val="-10"/>
          <w:kern w:val="28"/>
          <w:sz w:val="24"/>
          <w:szCs w:val="24"/>
        </w:rPr>
        <w:br/>
      </w:r>
      <w:r w:rsidRPr="00AF7954">
        <w:rPr>
          <w:rFonts w:ascii="Arial" w:eastAsiaTheme="majorEastAsia" w:hAnsi="Arial" w:cs="Arial"/>
          <w:i/>
          <w:iCs/>
          <w:spacing w:val="-10"/>
          <w:kern w:val="28"/>
          <w:sz w:val="24"/>
          <w:szCs w:val="24"/>
        </w:rPr>
        <w:t>(Placeholder for coefficient plots or error metrics.)</w:t>
      </w:r>
    </w:p>
    <w:p w14:paraId="5E325CAC" w14:textId="63C6AE57" w:rsidR="00AF7954" w:rsidRPr="00AF7954" w:rsidRDefault="00AF7954" w:rsidP="00AF7954">
      <w:pPr>
        <w:rPr>
          <w:rFonts w:ascii="Arial" w:eastAsiaTheme="majorEastAsia" w:hAnsi="Arial" w:cs="Arial"/>
          <w:spacing w:val="-10"/>
          <w:kern w:val="28"/>
          <w:sz w:val="24"/>
          <w:szCs w:val="24"/>
        </w:rPr>
      </w:pPr>
    </w:p>
    <w:p w14:paraId="4D1A24F9" w14:textId="77777777" w:rsidR="00AF7954" w:rsidRPr="00AF7954" w:rsidRDefault="00AF7954" w:rsidP="00AF7954">
      <w:pPr>
        <w:rPr>
          <w:rFonts w:ascii="Arial" w:eastAsiaTheme="majorEastAsia" w:hAnsi="Arial" w:cs="Arial"/>
          <w:b/>
          <w:bCs/>
          <w:spacing w:val="-10"/>
          <w:kern w:val="28"/>
          <w:sz w:val="24"/>
          <w:szCs w:val="24"/>
        </w:rPr>
      </w:pPr>
      <w:r w:rsidRPr="00AF7954">
        <w:rPr>
          <w:rFonts w:ascii="Arial" w:eastAsiaTheme="majorEastAsia" w:hAnsi="Arial" w:cs="Arial"/>
          <w:b/>
          <w:bCs/>
          <w:spacing w:val="-10"/>
          <w:kern w:val="28"/>
          <w:sz w:val="24"/>
          <w:szCs w:val="24"/>
        </w:rPr>
        <w:t>8. Discussion and Interpretation</w:t>
      </w:r>
    </w:p>
    <w:p w14:paraId="7F095346"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Overall Impact</w:t>
      </w:r>
      <w:r w:rsidRPr="00AF7954">
        <w:rPr>
          <w:rFonts w:ascii="Arial" w:eastAsiaTheme="majorEastAsia" w:hAnsi="Arial" w:cs="Arial"/>
          <w:spacing w:val="-10"/>
          <w:kern w:val="28"/>
          <w:sz w:val="24"/>
          <w:szCs w:val="24"/>
        </w:rPr>
        <w:br/>
        <w:t>Across all SEIFA indexes, the models indicate that they collectively explain approximately 30% of the variance in violent and DV crime rates. This is consistent with the Lasso and Ridge regression models, which provided slightly better predictive power than the simple linear regression, suggesting that these socio-economic factors play a notable role in shaping crime rates, particularly in the context of violent and DV crimes.</w:t>
      </w:r>
    </w:p>
    <w:p w14:paraId="23CC9712"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While the models explain part of the variance, it’s clear that there are other factors influencing violent and DV crime rates that weren’t captured in the analysis.</w:t>
      </w:r>
    </w:p>
    <w:p w14:paraId="7ACC6414" w14:textId="77777777" w:rsidR="00AF7954" w:rsidRPr="00AF7954" w:rsidRDefault="00AF7954" w:rsidP="00AF7954">
      <w:p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Key Insights</w:t>
      </w:r>
    </w:p>
    <w:p w14:paraId="0E284B9B" w14:textId="77777777" w:rsidR="00AF7954" w:rsidRPr="00AF7954" w:rsidRDefault="00AF7954" w:rsidP="00AF7954">
      <w:pPr>
        <w:numPr>
          <w:ilvl w:val="0"/>
          <w:numId w:val="32"/>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 xml:space="preserve">The </w:t>
      </w:r>
      <w:r w:rsidRPr="00AF7954">
        <w:rPr>
          <w:rFonts w:ascii="Arial" w:eastAsiaTheme="majorEastAsia" w:hAnsi="Arial" w:cs="Arial"/>
          <w:b/>
          <w:bCs/>
          <w:spacing w:val="-10"/>
          <w:kern w:val="28"/>
          <w:sz w:val="24"/>
          <w:szCs w:val="24"/>
        </w:rPr>
        <w:t>IER (Economic Resources)</w:t>
      </w:r>
      <w:r w:rsidRPr="00AF7954">
        <w:rPr>
          <w:rFonts w:ascii="Arial" w:eastAsiaTheme="majorEastAsia" w:hAnsi="Arial" w:cs="Arial"/>
          <w:spacing w:val="-10"/>
          <w:kern w:val="28"/>
          <w:sz w:val="24"/>
          <w:szCs w:val="24"/>
        </w:rPr>
        <w:t xml:space="preserve"> index was the most significant predictor of violent and DV crime rates, showing a strong negative relationship. Suburbs with lower economic resources tend to experience higher crime rates, which was evident both in the Pearson correlation (r = -0.610) and in the Lasso and Ridge regression models, where the relationship remained moderately strong and negative. This supports the idea that improving economic resources may be one of the most effective ways to reduce violent and DV crimes.</w:t>
      </w:r>
    </w:p>
    <w:p w14:paraId="3AE921FF" w14:textId="77777777" w:rsidR="00AF7954" w:rsidRPr="00AF7954" w:rsidRDefault="00AF7954" w:rsidP="00AF7954">
      <w:pPr>
        <w:numPr>
          <w:ilvl w:val="0"/>
          <w:numId w:val="32"/>
        </w:numPr>
        <w:rPr>
          <w:rFonts w:ascii="Arial" w:eastAsiaTheme="majorEastAsia" w:hAnsi="Arial" w:cs="Arial"/>
          <w:spacing w:val="-10"/>
          <w:kern w:val="28"/>
          <w:sz w:val="24"/>
          <w:szCs w:val="24"/>
        </w:rPr>
      </w:pPr>
      <w:r w:rsidRPr="00AF7954">
        <w:rPr>
          <w:rFonts w:ascii="Arial" w:eastAsiaTheme="majorEastAsia" w:hAnsi="Arial" w:cs="Arial"/>
          <w:spacing w:val="-10"/>
          <w:kern w:val="28"/>
          <w:sz w:val="24"/>
          <w:szCs w:val="24"/>
        </w:rPr>
        <w:t xml:space="preserve">On the other hand, the </w:t>
      </w:r>
      <w:r w:rsidRPr="00AF7954">
        <w:rPr>
          <w:rFonts w:ascii="Arial" w:eastAsiaTheme="majorEastAsia" w:hAnsi="Arial" w:cs="Arial"/>
          <w:b/>
          <w:bCs/>
          <w:spacing w:val="-10"/>
          <w:kern w:val="28"/>
          <w:sz w:val="24"/>
          <w:szCs w:val="24"/>
        </w:rPr>
        <w:t>IEO (Education/Occupation)</w:t>
      </w:r>
      <w:r w:rsidRPr="00AF7954">
        <w:rPr>
          <w:rFonts w:ascii="Arial" w:eastAsiaTheme="majorEastAsia" w:hAnsi="Arial" w:cs="Arial"/>
          <w:spacing w:val="-10"/>
          <w:kern w:val="28"/>
          <w:sz w:val="24"/>
          <w:szCs w:val="24"/>
        </w:rPr>
        <w:t xml:space="preserve"> index showed no meaningful relationship with violent and DV crime rates. While the Pearson correlation indicated a weak negative relationship (r = -0.105), it was statistically insignificant (p = 0.114). More surprisingly, the Lasso and Ridge regression models produced positive coefficients for IEO, suggesting a very weak, albeit unexpected, relationship. This implies that education and occupation alone may not significantly impact violent and DV crime rates, potentially due to other, more dominant socio-economic factors influencing crime in these areas.</w:t>
      </w:r>
    </w:p>
    <w:p w14:paraId="1CC9FF51" w14:textId="581B1A58" w:rsidR="00AF7954" w:rsidRPr="00AF7954" w:rsidRDefault="00AF7954" w:rsidP="00AF7954">
      <w:pPr>
        <w:rPr>
          <w:rFonts w:ascii="Arial" w:eastAsiaTheme="majorEastAsia" w:hAnsi="Arial" w:cs="Arial"/>
          <w:spacing w:val="-10"/>
          <w:kern w:val="28"/>
          <w:sz w:val="24"/>
          <w:szCs w:val="24"/>
        </w:rPr>
      </w:pPr>
    </w:p>
    <w:p w14:paraId="0C548B70" w14:textId="77777777" w:rsidR="00AF7954" w:rsidRPr="00AF7954" w:rsidRDefault="00AF7954" w:rsidP="00AF7954">
      <w:pPr>
        <w:rPr>
          <w:rFonts w:ascii="Arial" w:eastAsiaTheme="majorEastAsia" w:hAnsi="Arial" w:cs="Arial"/>
          <w:b/>
          <w:bCs/>
          <w:spacing w:val="-10"/>
          <w:kern w:val="28"/>
          <w:sz w:val="24"/>
          <w:szCs w:val="24"/>
        </w:rPr>
      </w:pPr>
      <w:r w:rsidRPr="00AF7954">
        <w:rPr>
          <w:rFonts w:ascii="Arial" w:eastAsiaTheme="majorEastAsia" w:hAnsi="Arial" w:cs="Arial"/>
          <w:b/>
          <w:bCs/>
          <w:spacing w:val="-10"/>
          <w:kern w:val="28"/>
          <w:sz w:val="24"/>
          <w:szCs w:val="24"/>
        </w:rPr>
        <w:t>Data Sources</w:t>
      </w:r>
    </w:p>
    <w:p w14:paraId="22760654" w14:textId="77777777" w:rsidR="00AF7954" w:rsidRPr="00AF7954" w:rsidRDefault="00AF7954" w:rsidP="00AF7954">
      <w:pPr>
        <w:numPr>
          <w:ilvl w:val="0"/>
          <w:numId w:val="33"/>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SEIFA Indexes (2021)</w:t>
      </w:r>
      <w:r w:rsidRPr="00AF7954">
        <w:rPr>
          <w:rFonts w:ascii="Arial" w:eastAsiaTheme="majorEastAsia" w:hAnsi="Arial" w:cs="Arial"/>
          <w:spacing w:val="-10"/>
          <w:kern w:val="28"/>
          <w:sz w:val="24"/>
          <w:szCs w:val="24"/>
        </w:rPr>
        <w:br/>
        <w:t>Australian Bureau of Statistics</w:t>
      </w:r>
      <w:r w:rsidRPr="00AF7954">
        <w:rPr>
          <w:rFonts w:ascii="Arial" w:eastAsiaTheme="majorEastAsia" w:hAnsi="Arial" w:cs="Arial"/>
          <w:spacing w:val="-10"/>
          <w:kern w:val="28"/>
          <w:sz w:val="24"/>
          <w:szCs w:val="24"/>
        </w:rPr>
        <w:br/>
      </w:r>
      <w:hyperlink r:id="rId5" w:anchor="data-downloads" w:tgtFrame="_new" w:history="1">
        <w:r w:rsidRPr="00AF7954">
          <w:rPr>
            <w:rStyle w:val="Hyperlink"/>
            <w:rFonts w:ascii="Arial" w:eastAsiaTheme="majorEastAsia" w:hAnsi="Arial" w:cs="Arial"/>
            <w:spacing w:val="-10"/>
            <w:kern w:val="28"/>
            <w:sz w:val="24"/>
            <w:szCs w:val="24"/>
          </w:rPr>
          <w:t>https://www.abs.gov.au/statistics/people/people-and-communities/socio-economic-indexes-areas-seifa-australia/latest-release#data-downloads</w:t>
        </w:r>
      </w:hyperlink>
    </w:p>
    <w:p w14:paraId="24DD98A9" w14:textId="77777777" w:rsidR="00AF7954" w:rsidRPr="00AF7954" w:rsidRDefault="00AF7954" w:rsidP="00AF7954">
      <w:pPr>
        <w:numPr>
          <w:ilvl w:val="0"/>
          <w:numId w:val="33"/>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lastRenderedPageBreak/>
        <w:t>Crime Data by Police Division (2018–Latest)</w:t>
      </w:r>
      <w:r w:rsidRPr="00AF7954">
        <w:rPr>
          <w:rFonts w:ascii="Arial" w:eastAsiaTheme="majorEastAsia" w:hAnsi="Arial" w:cs="Arial"/>
          <w:spacing w:val="-10"/>
          <w:kern w:val="28"/>
          <w:sz w:val="24"/>
          <w:szCs w:val="24"/>
        </w:rPr>
        <w:br/>
        <w:t>Queensland Government Open Data Portal</w:t>
      </w:r>
      <w:r w:rsidRPr="00AF7954">
        <w:rPr>
          <w:rFonts w:ascii="Arial" w:eastAsiaTheme="majorEastAsia" w:hAnsi="Arial" w:cs="Arial"/>
          <w:spacing w:val="-10"/>
          <w:kern w:val="28"/>
          <w:sz w:val="24"/>
          <w:szCs w:val="24"/>
        </w:rPr>
        <w:br/>
      </w:r>
      <w:hyperlink r:id="rId6" w:tgtFrame="_new" w:history="1">
        <w:r w:rsidRPr="00AF7954">
          <w:rPr>
            <w:rStyle w:val="Hyperlink"/>
            <w:rFonts w:ascii="Arial" w:eastAsiaTheme="majorEastAsia" w:hAnsi="Arial" w:cs="Arial"/>
            <w:spacing w:val="-10"/>
            <w:kern w:val="28"/>
            <w:sz w:val="24"/>
            <w:szCs w:val="24"/>
          </w:rPr>
          <w:t>https://www.data.qld.gov.au/dataset/offence-numbers-police-divisions-monthly-from-july-2001</w:t>
        </w:r>
      </w:hyperlink>
    </w:p>
    <w:p w14:paraId="6436648F" w14:textId="77777777" w:rsidR="00AF7954" w:rsidRPr="00AF7954" w:rsidRDefault="00AF7954" w:rsidP="00AF7954">
      <w:pPr>
        <w:numPr>
          <w:ilvl w:val="0"/>
          <w:numId w:val="33"/>
        </w:numPr>
        <w:rPr>
          <w:rFonts w:ascii="Arial" w:eastAsiaTheme="majorEastAsia" w:hAnsi="Arial" w:cs="Arial"/>
          <w:spacing w:val="-10"/>
          <w:kern w:val="28"/>
          <w:sz w:val="24"/>
          <w:szCs w:val="24"/>
        </w:rPr>
      </w:pPr>
      <w:r w:rsidRPr="00AF7954">
        <w:rPr>
          <w:rFonts w:ascii="Arial" w:eastAsiaTheme="majorEastAsia" w:hAnsi="Arial" w:cs="Arial"/>
          <w:b/>
          <w:bCs/>
          <w:spacing w:val="-10"/>
          <w:kern w:val="28"/>
          <w:sz w:val="24"/>
          <w:szCs w:val="24"/>
        </w:rPr>
        <w:t>Code Repository</w:t>
      </w:r>
      <w:r w:rsidRPr="00AF7954">
        <w:rPr>
          <w:rFonts w:ascii="Arial" w:eastAsiaTheme="majorEastAsia" w:hAnsi="Arial" w:cs="Arial"/>
          <w:spacing w:val="-10"/>
          <w:kern w:val="28"/>
          <w:sz w:val="24"/>
          <w:szCs w:val="24"/>
        </w:rPr>
        <w:br/>
        <w:t>GitHub – SEIFA &amp; Crime Rate Analysis (Queensland)</w:t>
      </w:r>
      <w:r w:rsidRPr="00AF7954">
        <w:rPr>
          <w:rFonts w:ascii="Arial" w:eastAsiaTheme="majorEastAsia" w:hAnsi="Arial" w:cs="Arial"/>
          <w:spacing w:val="-10"/>
          <w:kern w:val="28"/>
          <w:sz w:val="24"/>
          <w:szCs w:val="24"/>
        </w:rPr>
        <w:br/>
      </w:r>
      <w:hyperlink r:id="rId7" w:tgtFrame="_new" w:history="1">
        <w:r w:rsidRPr="00AF7954">
          <w:rPr>
            <w:rStyle w:val="Hyperlink"/>
            <w:rFonts w:ascii="Arial" w:eastAsiaTheme="majorEastAsia" w:hAnsi="Arial" w:cs="Arial"/>
            <w:spacing w:val="-10"/>
            <w:kern w:val="28"/>
            <w:sz w:val="24"/>
            <w:szCs w:val="24"/>
          </w:rPr>
          <w:t>https://github.com/davimeloni/qld-seifa-crime-analysis.git</w:t>
        </w:r>
      </w:hyperlink>
    </w:p>
    <w:p w14:paraId="734F236F" w14:textId="77777777" w:rsidR="00403D64" w:rsidRPr="00557DA1" w:rsidRDefault="00403D64" w:rsidP="00AF7954">
      <w:pPr>
        <w:rPr>
          <w:rFonts w:ascii="Arial" w:hAnsi="Arial" w:cs="Arial"/>
          <w:sz w:val="24"/>
          <w:szCs w:val="24"/>
        </w:rPr>
      </w:pPr>
    </w:p>
    <w:sectPr w:rsidR="00403D64" w:rsidRPr="00557DA1" w:rsidSect="00850B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6299"/>
    <w:multiLevelType w:val="multilevel"/>
    <w:tmpl w:val="C3E2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0267"/>
    <w:multiLevelType w:val="multilevel"/>
    <w:tmpl w:val="B184A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F33EF"/>
    <w:multiLevelType w:val="multilevel"/>
    <w:tmpl w:val="41D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AB4"/>
    <w:multiLevelType w:val="multilevel"/>
    <w:tmpl w:val="8C26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367E5"/>
    <w:multiLevelType w:val="multilevel"/>
    <w:tmpl w:val="3640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83DA9"/>
    <w:multiLevelType w:val="multilevel"/>
    <w:tmpl w:val="9F0E4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541DB"/>
    <w:multiLevelType w:val="multilevel"/>
    <w:tmpl w:val="6846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50C64"/>
    <w:multiLevelType w:val="multilevel"/>
    <w:tmpl w:val="102E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83768"/>
    <w:multiLevelType w:val="multilevel"/>
    <w:tmpl w:val="9E408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45BD3"/>
    <w:multiLevelType w:val="multilevel"/>
    <w:tmpl w:val="FD007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B3B02"/>
    <w:multiLevelType w:val="multilevel"/>
    <w:tmpl w:val="D4FA2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E0BE3"/>
    <w:multiLevelType w:val="multilevel"/>
    <w:tmpl w:val="873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026AE"/>
    <w:multiLevelType w:val="multilevel"/>
    <w:tmpl w:val="236E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F0A27"/>
    <w:multiLevelType w:val="multilevel"/>
    <w:tmpl w:val="7B1C8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45A85"/>
    <w:multiLevelType w:val="multilevel"/>
    <w:tmpl w:val="B95C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31B43"/>
    <w:multiLevelType w:val="multilevel"/>
    <w:tmpl w:val="3CCA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E0654"/>
    <w:multiLevelType w:val="hybridMultilevel"/>
    <w:tmpl w:val="F182D1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7F56E7"/>
    <w:multiLevelType w:val="multilevel"/>
    <w:tmpl w:val="6E2E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D6110"/>
    <w:multiLevelType w:val="multilevel"/>
    <w:tmpl w:val="CC5A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311EB"/>
    <w:multiLevelType w:val="multilevel"/>
    <w:tmpl w:val="216CB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76EF0"/>
    <w:multiLevelType w:val="multilevel"/>
    <w:tmpl w:val="901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D0015"/>
    <w:multiLevelType w:val="multilevel"/>
    <w:tmpl w:val="A43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54E35"/>
    <w:multiLevelType w:val="multilevel"/>
    <w:tmpl w:val="270C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C7671"/>
    <w:multiLevelType w:val="multilevel"/>
    <w:tmpl w:val="31C0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E01F9"/>
    <w:multiLevelType w:val="multilevel"/>
    <w:tmpl w:val="92C8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173EF"/>
    <w:multiLevelType w:val="multilevel"/>
    <w:tmpl w:val="EE1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45512"/>
    <w:multiLevelType w:val="multilevel"/>
    <w:tmpl w:val="AE92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04856"/>
    <w:multiLevelType w:val="multilevel"/>
    <w:tmpl w:val="9F1A1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36C69"/>
    <w:multiLevelType w:val="multilevel"/>
    <w:tmpl w:val="9CD2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A65D2"/>
    <w:multiLevelType w:val="multilevel"/>
    <w:tmpl w:val="D880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A6887"/>
    <w:multiLevelType w:val="multilevel"/>
    <w:tmpl w:val="B934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15E57"/>
    <w:multiLevelType w:val="multilevel"/>
    <w:tmpl w:val="CE46E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D627AE"/>
    <w:multiLevelType w:val="multilevel"/>
    <w:tmpl w:val="0E5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552949">
    <w:abstractNumId w:val="31"/>
  </w:num>
  <w:num w:numId="2" w16cid:durableId="104080790">
    <w:abstractNumId w:val="1"/>
  </w:num>
  <w:num w:numId="3" w16cid:durableId="878054046">
    <w:abstractNumId w:val="14"/>
  </w:num>
  <w:num w:numId="4" w16cid:durableId="1600870583">
    <w:abstractNumId w:val="30"/>
  </w:num>
  <w:num w:numId="5" w16cid:durableId="309868516">
    <w:abstractNumId w:val="21"/>
  </w:num>
  <w:num w:numId="6" w16cid:durableId="1219591690">
    <w:abstractNumId w:val="24"/>
  </w:num>
  <w:num w:numId="7" w16cid:durableId="916401094">
    <w:abstractNumId w:val="4"/>
  </w:num>
  <w:num w:numId="8" w16cid:durableId="828643529">
    <w:abstractNumId w:val="20"/>
  </w:num>
  <w:num w:numId="9" w16cid:durableId="1083992973">
    <w:abstractNumId w:val="6"/>
  </w:num>
  <w:num w:numId="10" w16cid:durableId="1992979119">
    <w:abstractNumId w:val="15"/>
  </w:num>
  <w:num w:numId="11" w16cid:durableId="1736971533">
    <w:abstractNumId w:val="27"/>
  </w:num>
  <w:num w:numId="12" w16cid:durableId="69232898">
    <w:abstractNumId w:val="19"/>
  </w:num>
  <w:num w:numId="13" w16cid:durableId="35548893">
    <w:abstractNumId w:val="17"/>
  </w:num>
  <w:num w:numId="14" w16cid:durableId="254095425">
    <w:abstractNumId w:val="23"/>
  </w:num>
  <w:num w:numId="15" w16cid:durableId="1598369134">
    <w:abstractNumId w:val="28"/>
  </w:num>
  <w:num w:numId="16" w16cid:durableId="1291941034">
    <w:abstractNumId w:val="10"/>
  </w:num>
  <w:num w:numId="17" w16cid:durableId="1488594100">
    <w:abstractNumId w:val="29"/>
  </w:num>
  <w:num w:numId="18" w16cid:durableId="1070733324">
    <w:abstractNumId w:val="16"/>
  </w:num>
  <w:num w:numId="19" w16cid:durableId="1039861163">
    <w:abstractNumId w:val="5"/>
  </w:num>
  <w:num w:numId="20" w16cid:durableId="1591617198">
    <w:abstractNumId w:val="9"/>
  </w:num>
  <w:num w:numId="21" w16cid:durableId="1566642858">
    <w:abstractNumId w:val="13"/>
  </w:num>
  <w:num w:numId="22" w16cid:durableId="1511943772">
    <w:abstractNumId w:val="0"/>
  </w:num>
  <w:num w:numId="23" w16cid:durableId="1755710960">
    <w:abstractNumId w:val="7"/>
  </w:num>
  <w:num w:numId="24" w16cid:durableId="1611743910">
    <w:abstractNumId w:val="26"/>
  </w:num>
  <w:num w:numId="25" w16cid:durableId="436603003">
    <w:abstractNumId w:val="8"/>
  </w:num>
  <w:num w:numId="26" w16cid:durableId="720321806">
    <w:abstractNumId w:val="3"/>
  </w:num>
  <w:num w:numId="27" w16cid:durableId="2121486148">
    <w:abstractNumId w:val="32"/>
  </w:num>
  <w:num w:numId="28" w16cid:durableId="547230549">
    <w:abstractNumId w:val="12"/>
  </w:num>
  <w:num w:numId="29" w16cid:durableId="2059166254">
    <w:abstractNumId w:val="25"/>
  </w:num>
  <w:num w:numId="30" w16cid:durableId="1861309108">
    <w:abstractNumId w:val="18"/>
  </w:num>
  <w:num w:numId="31" w16cid:durableId="448359960">
    <w:abstractNumId w:val="11"/>
  </w:num>
  <w:num w:numId="32" w16cid:durableId="155850950">
    <w:abstractNumId w:val="22"/>
  </w:num>
  <w:num w:numId="33" w16cid:durableId="2091152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6A"/>
    <w:rsid w:val="000016FD"/>
    <w:rsid w:val="000265CE"/>
    <w:rsid w:val="000632D8"/>
    <w:rsid w:val="000B6DA2"/>
    <w:rsid w:val="000C1119"/>
    <w:rsid w:val="000C33AF"/>
    <w:rsid w:val="00111724"/>
    <w:rsid w:val="00116EF2"/>
    <w:rsid w:val="0012484A"/>
    <w:rsid w:val="001458F5"/>
    <w:rsid w:val="001505CB"/>
    <w:rsid w:val="0016201C"/>
    <w:rsid w:val="00170746"/>
    <w:rsid w:val="001960EF"/>
    <w:rsid w:val="003C18C6"/>
    <w:rsid w:val="003C67EE"/>
    <w:rsid w:val="003E0DFB"/>
    <w:rsid w:val="004036C5"/>
    <w:rsid w:val="00403D64"/>
    <w:rsid w:val="00420042"/>
    <w:rsid w:val="00456143"/>
    <w:rsid w:val="00463554"/>
    <w:rsid w:val="004A085D"/>
    <w:rsid w:val="004E1941"/>
    <w:rsid w:val="004E39F2"/>
    <w:rsid w:val="005369BD"/>
    <w:rsid w:val="00557DA1"/>
    <w:rsid w:val="005B30F4"/>
    <w:rsid w:val="005D249D"/>
    <w:rsid w:val="00647228"/>
    <w:rsid w:val="006610BB"/>
    <w:rsid w:val="00670245"/>
    <w:rsid w:val="00695082"/>
    <w:rsid w:val="006B5243"/>
    <w:rsid w:val="00702CB2"/>
    <w:rsid w:val="00754A79"/>
    <w:rsid w:val="007B5B9F"/>
    <w:rsid w:val="007E4C04"/>
    <w:rsid w:val="007F22C1"/>
    <w:rsid w:val="008079B6"/>
    <w:rsid w:val="008119E5"/>
    <w:rsid w:val="0081219E"/>
    <w:rsid w:val="008460DC"/>
    <w:rsid w:val="00850B85"/>
    <w:rsid w:val="008A4C83"/>
    <w:rsid w:val="008F1273"/>
    <w:rsid w:val="008F6B11"/>
    <w:rsid w:val="00967FD6"/>
    <w:rsid w:val="00974C8F"/>
    <w:rsid w:val="0099387B"/>
    <w:rsid w:val="009D5F99"/>
    <w:rsid w:val="00A00B57"/>
    <w:rsid w:val="00A17901"/>
    <w:rsid w:val="00A35906"/>
    <w:rsid w:val="00A435C4"/>
    <w:rsid w:val="00A44FB4"/>
    <w:rsid w:val="00A57D51"/>
    <w:rsid w:val="00AA38F5"/>
    <w:rsid w:val="00AA39C1"/>
    <w:rsid w:val="00AF7954"/>
    <w:rsid w:val="00B3598D"/>
    <w:rsid w:val="00B65A08"/>
    <w:rsid w:val="00B848F3"/>
    <w:rsid w:val="00BE568F"/>
    <w:rsid w:val="00C632C5"/>
    <w:rsid w:val="00C76479"/>
    <w:rsid w:val="00C76E71"/>
    <w:rsid w:val="00C9686C"/>
    <w:rsid w:val="00CA166B"/>
    <w:rsid w:val="00CA1710"/>
    <w:rsid w:val="00D256C8"/>
    <w:rsid w:val="00D3575F"/>
    <w:rsid w:val="00D51652"/>
    <w:rsid w:val="00D53AAE"/>
    <w:rsid w:val="00DD52DE"/>
    <w:rsid w:val="00E308F3"/>
    <w:rsid w:val="00E45782"/>
    <w:rsid w:val="00E77D14"/>
    <w:rsid w:val="00E87019"/>
    <w:rsid w:val="00E93B6A"/>
    <w:rsid w:val="00EC3CCB"/>
    <w:rsid w:val="00F41372"/>
    <w:rsid w:val="00F54790"/>
    <w:rsid w:val="00F65285"/>
    <w:rsid w:val="00F8530A"/>
    <w:rsid w:val="00F87A6C"/>
    <w:rsid w:val="00FA0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3111"/>
  <w15:chartTrackingRefBased/>
  <w15:docId w15:val="{7147F5B4-89A8-47BC-A222-A786C51E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B6A"/>
    <w:rPr>
      <w:rFonts w:eastAsiaTheme="majorEastAsia" w:cstheme="majorBidi"/>
      <w:color w:val="272727" w:themeColor="text1" w:themeTint="D8"/>
    </w:rPr>
  </w:style>
  <w:style w:type="paragraph" w:styleId="Title">
    <w:name w:val="Title"/>
    <w:basedOn w:val="Normal"/>
    <w:next w:val="Normal"/>
    <w:link w:val="TitleChar"/>
    <w:uiPriority w:val="10"/>
    <w:qFormat/>
    <w:rsid w:val="00E93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B6A"/>
    <w:pPr>
      <w:spacing w:before="160"/>
      <w:jc w:val="center"/>
    </w:pPr>
    <w:rPr>
      <w:i/>
      <w:iCs/>
      <w:color w:val="404040" w:themeColor="text1" w:themeTint="BF"/>
    </w:rPr>
  </w:style>
  <w:style w:type="character" w:customStyle="1" w:styleId="QuoteChar">
    <w:name w:val="Quote Char"/>
    <w:basedOn w:val="DefaultParagraphFont"/>
    <w:link w:val="Quote"/>
    <w:uiPriority w:val="29"/>
    <w:rsid w:val="00E93B6A"/>
    <w:rPr>
      <w:i/>
      <w:iCs/>
      <w:color w:val="404040" w:themeColor="text1" w:themeTint="BF"/>
    </w:rPr>
  </w:style>
  <w:style w:type="paragraph" w:styleId="ListParagraph">
    <w:name w:val="List Paragraph"/>
    <w:basedOn w:val="Normal"/>
    <w:uiPriority w:val="34"/>
    <w:qFormat/>
    <w:rsid w:val="00E93B6A"/>
    <w:pPr>
      <w:ind w:left="720"/>
      <w:contextualSpacing/>
    </w:pPr>
  </w:style>
  <w:style w:type="character" w:styleId="IntenseEmphasis">
    <w:name w:val="Intense Emphasis"/>
    <w:basedOn w:val="DefaultParagraphFont"/>
    <w:uiPriority w:val="21"/>
    <w:qFormat/>
    <w:rsid w:val="00E93B6A"/>
    <w:rPr>
      <w:i/>
      <w:iCs/>
      <w:color w:val="0F4761" w:themeColor="accent1" w:themeShade="BF"/>
    </w:rPr>
  </w:style>
  <w:style w:type="paragraph" w:styleId="IntenseQuote">
    <w:name w:val="Intense Quote"/>
    <w:basedOn w:val="Normal"/>
    <w:next w:val="Normal"/>
    <w:link w:val="IntenseQuoteChar"/>
    <w:uiPriority w:val="30"/>
    <w:qFormat/>
    <w:rsid w:val="00E93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B6A"/>
    <w:rPr>
      <w:i/>
      <w:iCs/>
      <w:color w:val="0F4761" w:themeColor="accent1" w:themeShade="BF"/>
    </w:rPr>
  </w:style>
  <w:style w:type="character" w:styleId="IntenseReference">
    <w:name w:val="Intense Reference"/>
    <w:basedOn w:val="DefaultParagraphFont"/>
    <w:uiPriority w:val="32"/>
    <w:qFormat/>
    <w:rsid w:val="00E93B6A"/>
    <w:rPr>
      <w:b/>
      <w:bCs/>
      <w:smallCaps/>
      <w:color w:val="0F4761" w:themeColor="accent1" w:themeShade="BF"/>
      <w:spacing w:val="5"/>
    </w:rPr>
  </w:style>
  <w:style w:type="character" w:styleId="Hyperlink">
    <w:name w:val="Hyperlink"/>
    <w:basedOn w:val="DefaultParagraphFont"/>
    <w:uiPriority w:val="99"/>
    <w:unhideWhenUsed/>
    <w:rsid w:val="00CA1710"/>
    <w:rPr>
      <w:color w:val="467886" w:themeColor="hyperlink"/>
      <w:u w:val="single"/>
    </w:rPr>
  </w:style>
  <w:style w:type="character" w:styleId="UnresolvedMention">
    <w:name w:val="Unresolved Mention"/>
    <w:basedOn w:val="DefaultParagraphFont"/>
    <w:uiPriority w:val="99"/>
    <w:semiHidden/>
    <w:unhideWhenUsed/>
    <w:rsid w:val="00CA1710"/>
    <w:rPr>
      <w:color w:val="605E5C"/>
      <w:shd w:val="clear" w:color="auto" w:fill="E1DFDD"/>
    </w:rPr>
  </w:style>
  <w:style w:type="character" w:styleId="SubtleEmphasis">
    <w:name w:val="Subtle Emphasis"/>
    <w:basedOn w:val="DefaultParagraphFont"/>
    <w:uiPriority w:val="19"/>
    <w:qFormat/>
    <w:rsid w:val="00670245"/>
    <w:rPr>
      <w:i/>
      <w:iCs/>
      <w:color w:val="404040" w:themeColor="text1" w:themeTint="BF"/>
    </w:rPr>
  </w:style>
  <w:style w:type="character" w:styleId="Strong">
    <w:name w:val="Strong"/>
    <w:basedOn w:val="DefaultParagraphFont"/>
    <w:uiPriority w:val="22"/>
    <w:qFormat/>
    <w:rsid w:val="007E4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3465">
      <w:bodyDiv w:val="1"/>
      <w:marLeft w:val="0"/>
      <w:marRight w:val="0"/>
      <w:marTop w:val="0"/>
      <w:marBottom w:val="0"/>
      <w:divBdr>
        <w:top w:val="none" w:sz="0" w:space="0" w:color="auto"/>
        <w:left w:val="none" w:sz="0" w:space="0" w:color="auto"/>
        <w:bottom w:val="none" w:sz="0" w:space="0" w:color="auto"/>
        <w:right w:val="none" w:sz="0" w:space="0" w:color="auto"/>
      </w:divBdr>
    </w:div>
    <w:div w:id="148059156">
      <w:bodyDiv w:val="1"/>
      <w:marLeft w:val="0"/>
      <w:marRight w:val="0"/>
      <w:marTop w:val="0"/>
      <w:marBottom w:val="0"/>
      <w:divBdr>
        <w:top w:val="none" w:sz="0" w:space="0" w:color="auto"/>
        <w:left w:val="none" w:sz="0" w:space="0" w:color="auto"/>
        <w:bottom w:val="none" w:sz="0" w:space="0" w:color="auto"/>
        <w:right w:val="none" w:sz="0" w:space="0" w:color="auto"/>
      </w:divBdr>
      <w:divsChild>
        <w:div w:id="2054771992">
          <w:marLeft w:val="0"/>
          <w:marRight w:val="0"/>
          <w:marTop w:val="0"/>
          <w:marBottom w:val="0"/>
          <w:divBdr>
            <w:top w:val="none" w:sz="0" w:space="0" w:color="auto"/>
            <w:left w:val="none" w:sz="0" w:space="0" w:color="auto"/>
            <w:bottom w:val="none" w:sz="0" w:space="0" w:color="auto"/>
            <w:right w:val="none" w:sz="0" w:space="0" w:color="auto"/>
          </w:divBdr>
          <w:divsChild>
            <w:div w:id="1789465381">
              <w:marLeft w:val="0"/>
              <w:marRight w:val="0"/>
              <w:marTop w:val="0"/>
              <w:marBottom w:val="0"/>
              <w:divBdr>
                <w:top w:val="none" w:sz="0" w:space="0" w:color="auto"/>
                <w:left w:val="none" w:sz="0" w:space="0" w:color="auto"/>
                <w:bottom w:val="none" w:sz="0" w:space="0" w:color="auto"/>
                <w:right w:val="none" w:sz="0" w:space="0" w:color="auto"/>
              </w:divBdr>
            </w:div>
          </w:divsChild>
        </w:div>
        <w:div w:id="2396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333579">
      <w:bodyDiv w:val="1"/>
      <w:marLeft w:val="0"/>
      <w:marRight w:val="0"/>
      <w:marTop w:val="0"/>
      <w:marBottom w:val="0"/>
      <w:divBdr>
        <w:top w:val="none" w:sz="0" w:space="0" w:color="auto"/>
        <w:left w:val="none" w:sz="0" w:space="0" w:color="auto"/>
        <w:bottom w:val="none" w:sz="0" w:space="0" w:color="auto"/>
        <w:right w:val="none" w:sz="0" w:space="0" w:color="auto"/>
      </w:divBdr>
    </w:div>
    <w:div w:id="403649397">
      <w:bodyDiv w:val="1"/>
      <w:marLeft w:val="0"/>
      <w:marRight w:val="0"/>
      <w:marTop w:val="0"/>
      <w:marBottom w:val="0"/>
      <w:divBdr>
        <w:top w:val="none" w:sz="0" w:space="0" w:color="auto"/>
        <w:left w:val="none" w:sz="0" w:space="0" w:color="auto"/>
        <w:bottom w:val="none" w:sz="0" w:space="0" w:color="auto"/>
        <w:right w:val="none" w:sz="0" w:space="0" w:color="auto"/>
      </w:divBdr>
      <w:divsChild>
        <w:div w:id="20165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60876">
      <w:bodyDiv w:val="1"/>
      <w:marLeft w:val="0"/>
      <w:marRight w:val="0"/>
      <w:marTop w:val="0"/>
      <w:marBottom w:val="0"/>
      <w:divBdr>
        <w:top w:val="none" w:sz="0" w:space="0" w:color="auto"/>
        <w:left w:val="none" w:sz="0" w:space="0" w:color="auto"/>
        <w:bottom w:val="none" w:sz="0" w:space="0" w:color="auto"/>
        <w:right w:val="none" w:sz="0" w:space="0" w:color="auto"/>
      </w:divBdr>
    </w:div>
    <w:div w:id="655034218">
      <w:bodyDiv w:val="1"/>
      <w:marLeft w:val="0"/>
      <w:marRight w:val="0"/>
      <w:marTop w:val="0"/>
      <w:marBottom w:val="0"/>
      <w:divBdr>
        <w:top w:val="none" w:sz="0" w:space="0" w:color="auto"/>
        <w:left w:val="none" w:sz="0" w:space="0" w:color="auto"/>
        <w:bottom w:val="none" w:sz="0" w:space="0" w:color="auto"/>
        <w:right w:val="none" w:sz="0" w:space="0" w:color="auto"/>
      </w:divBdr>
    </w:div>
    <w:div w:id="722095794">
      <w:bodyDiv w:val="1"/>
      <w:marLeft w:val="0"/>
      <w:marRight w:val="0"/>
      <w:marTop w:val="0"/>
      <w:marBottom w:val="0"/>
      <w:divBdr>
        <w:top w:val="none" w:sz="0" w:space="0" w:color="auto"/>
        <w:left w:val="none" w:sz="0" w:space="0" w:color="auto"/>
        <w:bottom w:val="none" w:sz="0" w:space="0" w:color="auto"/>
        <w:right w:val="none" w:sz="0" w:space="0" w:color="auto"/>
      </w:divBdr>
      <w:divsChild>
        <w:div w:id="11763231">
          <w:marLeft w:val="0"/>
          <w:marRight w:val="0"/>
          <w:marTop w:val="0"/>
          <w:marBottom w:val="0"/>
          <w:divBdr>
            <w:top w:val="none" w:sz="0" w:space="0" w:color="auto"/>
            <w:left w:val="none" w:sz="0" w:space="0" w:color="auto"/>
            <w:bottom w:val="none" w:sz="0" w:space="0" w:color="auto"/>
            <w:right w:val="none" w:sz="0" w:space="0" w:color="auto"/>
          </w:divBdr>
          <w:divsChild>
            <w:div w:id="1054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864">
      <w:bodyDiv w:val="1"/>
      <w:marLeft w:val="0"/>
      <w:marRight w:val="0"/>
      <w:marTop w:val="0"/>
      <w:marBottom w:val="0"/>
      <w:divBdr>
        <w:top w:val="none" w:sz="0" w:space="0" w:color="auto"/>
        <w:left w:val="none" w:sz="0" w:space="0" w:color="auto"/>
        <w:bottom w:val="none" w:sz="0" w:space="0" w:color="auto"/>
        <w:right w:val="none" w:sz="0" w:space="0" w:color="auto"/>
      </w:divBdr>
      <w:divsChild>
        <w:div w:id="467936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806875">
      <w:bodyDiv w:val="1"/>
      <w:marLeft w:val="0"/>
      <w:marRight w:val="0"/>
      <w:marTop w:val="0"/>
      <w:marBottom w:val="0"/>
      <w:divBdr>
        <w:top w:val="none" w:sz="0" w:space="0" w:color="auto"/>
        <w:left w:val="none" w:sz="0" w:space="0" w:color="auto"/>
        <w:bottom w:val="none" w:sz="0" w:space="0" w:color="auto"/>
        <w:right w:val="none" w:sz="0" w:space="0" w:color="auto"/>
      </w:divBdr>
    </w:div>
    <w:div w:id="764111592">
      <w:bodyDiv w:val="1"/>
      <w:marLeft w:val="0"/>
      <w:marRight w:val="0"/>
      <w:marTop w:val="0"/>
      <w:marBottom w:val="0"/>
      <w:divBdr>
        <w:top w:val="none" w:sz="0" w:space="0" w:color="auto"/>
        <w:left w:val="none" w:sz="0" w:space="0" w:color="auto"/>
        <w:bottom w:val="none" w:sz="0" w:space="0" w:color="auto"/>
        <w:right w:val="none" w:sz="0" w:space="0" w:color="auto"/>
      </w:divBdr>
      <w:divsChild>
        <w:div w:id="874536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334673">
      <w:bodyDiv w:val="1"/>
      <w:marLeft w:val="0"/>
      <w:marRight w:val="0"/>
      <w:marTop w:val="0"/>
      <w:marBottom w:val="0"/>
      <w:divBdr>
        <w:top w:val="none" w:sz="0" w:space="0" w:color="auto"/>
        <w:left w:val="none" w:sz="0" w:space="0" w:color="auto"/>
        <w:bottom w:val="none" w:sz="0" w:space="0" w:color="auto"/>
        <w:right w:val="none" w:sz="0" w:space="0" w:color="auto"/>
      </w:divBdr>
    </w:div>
    <w:div w:id="778722888">
      <w:bodyDiv w:val="1"/>
      <w:marLeft w:val="0"/>
      <w:marRight w:val="0"/>
      <w:marTop w:val="0"/>
      <w:marBottom w:val="0"/>
      <w:divBdr>
        <w:top w:val="none" w:sz="0" w:space="0" w:color="auto"/>
        <w:left w:val="none" w:sz="0" w:space="0" w:color="auto"/>
        <w:bottom w:val="none" w:sz="0" w:space="0" w:color="auto"/>
        <w:right w:val="none" w:sz="0" w:space="0" w:color="auto"/>
      </w:divBdr>
    </w:div>
    <w:div w:id="794518214">
      <w:bodyDiv w:val="1"/>
      <w:marLeft w:val="0"/>
      <w:marRight w:val="0"/>
      <w:marTop w:val="0"/>
      <w:marBottom w:val="0"/>
      <w:divBdr>
        <w:top w:val="none" w:sz="0" w:space="0" w:color="auto"/>
        <w:left w:val="none" w:sz="0" w:space="0" w:color="auto"/>
        <w:bottom w:val="none" w:sz="0" w:space="0" w:color="auto"/>
        <w:right w:val="none" w:sz="0" w:space="0" w:color="auto"/>
      </w:divBdr>
      <w:divsChild>
        <w:div w:id="640353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092627">
      <w:bodyDiv w:val="1"/>
      <w:marLeft w:val="0"/>
      <w:marRight w:val="0"/>
      <w:marTop w:val="0"/>
      <w:marBottom w:val="0"/>
      <w:divBdr>
        <w:top w:val="none" w:sz="0" w:space="0" w:color="auto"/>
        <w:left w:val="none" w:sz="0" w:space="0" w:color="auto"/>
        <w:bottom w:val="none" w:sz="0" w:space="0" w:color="auto"/>
        <w:right w:val="none" w:sz="0" w:space="0" w:color="auto"/>
      </w:divBdr>
    </w:div>
    <w:div w:id="928000377">
      <w:bodyDiv w:val="1"/>
      <w:marLeft w:val="0"/>
      <w:marRight w:val="0"/>
      <w:marTop w:val="0"/>
      <w:marBottom w:val="0"/>
      <w:divBdr>
        <w:top w:val="none" w:sz="0" w:space="0" w:color="auto"/>
        <w:left w:val="none" w:sz="0" w:space="0" w:color="auto"/>
        <w:bottom w:val="none" w:sz="0" w:space="0" w:color="auto"/>
        <w:right w:val="none" w:sz="0" w:space="0" w:color="auto"/>
      </w:divBdr>
    </w:div>
    <w:div w:id="929436560">
      <w:bodyDiv w:val="1"/>
      <w:marLeft w:val="0"/>
      <w:marRight w:val="0"/>
      <w:marTop w:val="0"/>
      <w:marBottom w:val="0"/>
      <w:divBdr>
        <w:top w:val="none" w:sz="0" w:space="0" w:color="auto"/>
        <w:left w:val="none" w:sz="0" w:space="0" w:color="auto"/>
        <w:bottom w:val="none" w:sz="0" w:space="0" w:color="auto"/>
        <w:right w:val="none" w:sz="0" w:space="0" w:color="auto"/>
      </w:divBdr>
      <w:divsChild>
        <w:div w:id="1374693575">
          <w:marLeft w:val="0"/>
          <w:marRight w:val="0"/>
          <w:marTop w:val="0"/>
          <w:marBottom w:val="0"/>
          <w:divBdr>
            <w:top w:val="none" w:sz="0" w:space="0" w:color="auto"/>
            <w:left w:val="none" w:sz="0" w:space="0" w:color="auto"/>
            <w:bottom w:val="none" w:sz="0" w:space="0" w:color="auto"/>
            <w:right w:val="none" w:sz="0" w:space="0" w:color="auto"/>
          </w:divBdr>
          <w:divsChild>
            <w:div w:id="1899243134">
              <w:marLeft w:val="0"/>
              <w:marRight w:val="0"/>
              <w:marTop w:val="0"/>
              <w:marBottom w:val="0"/>
              <w:divBdr>
                <w:top w:val="none" w:sz="0" w:space="0" w:color="auto"/>
                <w:left w:val="none" w:sz="0" w:space="0" w:color="auto"/>
                <w:bottom w:val="none" w:sz="0" w:space="0" w:color="auto"/>
                <w:right w:val="none" w:sz="0" w:space="0" w:color="auto"/>
              </w:divBdr>
            </w:div>
          </w:divsChild>
        </w:div>
        <w:div w:id="796752502">
          <w:marLeft w:val="0"/>
          <w:marRight w:val="0"/>
          <w:marTop w:val="0"/>
          <w:marBottom w:val="0"/>
          <w:divBdr>
            <w:top w:val="none" w:sz="0" w:space="0" w:color="auto"/>
            <w:left w:val="none" w:sz="0" w:space="0" w:color="auto"/>
            <w:bottom w:val="none" w:sz="0" w:space="0" w:color="auto"/>
            <w:right w:val="none" w:sz="0" w:space="0" w:color="auto"/>
          </w:divBdr>
          <w:divsChild>
            <w:div w:id="1792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9208">
      <w:bodyDiv w:val="1"/>
      <w:marLeft w:val="0"/>
      <w:marRight w:val="0"/>
      <w:marTop w:val="0"/>
      <w:marBottom w:val="0"/>
      <w:divBdr>
        <w:top w:val="none" w:sz="0" w:space="0" w:color="auto"/>
        <w:left w:val="none" w:sz="0" w:space="0" w:color="auto"/>
        <w:bottom w:val="none" w:sz="0" w:space="0" w:color="auto"/>
        <w:right w:val="none" w:sz="0" w:space="0" w:color="auto"/>
      </w:divBdr>
    </w:div>
    <w:div w:id="1023045718">
      <w:bodyDiv w:val="1"/>
      <w:marLeft w:val="0"/>
      <w:marRight w:val="0"/>
      <w:marTop w:val="0"/>
      <w:marBottom w:val="0"/>
      <w:divBdr>
        <w:top w:val="none" w:sz="0" w:space="0" w:color="auto"/>
        <w:left w:val="none" w:sz="0" w:space="0" w:color="auto"/>
        <w:bottom w:val="none" w:sz="0" w:space="0" w:color="auto"/>
        <w:right w:val="none" w:sz="0" w:space="0" w:color="auto"/>
      </w:divBdr>
    </w:div>
    <w:div w:id="1037848532">
      <w:bodyDiv w:val="1"/>
      <w:marLeft w:val="0"/>
      <w:marRight w:val="0"/>
      <w:marTop w:val="0"/>
      <w:marBottom w:val="0"/>
      <w:divBdr>
        <w:top w:val="none" w:sz="0" w:space="0" w:color="auto"/>
        <w:left w:val="none" w:sz="0" w:space="0" w:color="auto"/>
        <w:bottom w:val="none" w:sz="0" w:space="0" w:color="auto"/>
        <w:right w:val="none" w:sz="0" w:space="0" w:color="auto"/>
      </w:divBdr>
    </w:div>
    <w:div w:id="1102342142">
      <w:bodyDiv w:val="1"/>
      <w:marLeft w:val="0"/>
      <w:marRight w:val="0"/>
      <w:marTop w:val="0"/>
      <w:marBottom w:val="0"/>
      <w:divBdr>
        <w:top w:val="none" w:sz="0" w:space="0" w:color="auto"/>
        <w:left w:val="none" w:sz="0" w:space="0" w:color="auto"/>
        <w:bottom w:val="none" w:sz="0" w:space="0" w:color="auto"/>
        <w:right w:val="none" w:sz="0" w:space="0" w:color="auto"/>
      </w:divBdr>
    </w:div>
    <w:div w:id="1153520378">
      <w:bodyDiv w:val="1"/>
      <w:marLeft w:val="0"/>
      <w:marRight w:val="0"/>
      <w:marTop w:val="0"/>
      <w:marBottom w:val="0"/>
      <w:divBdr>
        <w:top w:val="none" w:sz="0" w:space="0" w:color="auto"/>
        <w:left w:val="none" w:sz="0" w:space="0" w:color="auto"/>
        <w:bottom w:val="none" w:sz="0" w:space="0" w:color="auto"/>
        <w:right w:val="none" w:sz="0" w:space="0" w:color="auto"/>
      </w:divBdr>
    </w:div>
    <w:div w:id="1214778057">
      <w:bodyDiv w:val="1"/>
      <w:marLeft w:val="0"/>
      <w:marRight w:val="0"/>
      <w:marTop w:val="0"/>
      <w:marBottom w:val="0"/>
      <w:divBdr>
        <w:top w:val="none" w:sz="0" w:space="0" w:color="auto"/>
        <w:left w:val="none" w:sz="0" w:space="0" w:color="auto"/>
        <w:bottom w:val="none" w:sz="0" w:space="0" w:color="auto"/>
        <w:right w:val="none" w:sz="0" w:space="0" w:color="auto"/>
      </w:divBdr>
      <w:divsChild>
        <w:div w:id="795952047">
          <w:marLeft w:val="0"/>
          <w:marRight w:val="0"/>
          <w:marTop w:val="0"/>
          <w:marBottom w:val="0"/>
          <w:divBdr>
            <w:top w:val="none" w:sz="0" w:space="0" w:color="auto"/>
            <w:left w:val="none" w:sz="0" w:space="0" w:color="auto"/>
            <w:bottom w:val="none" w:sz="0" w:space="0" w:color="auto"/>
            <w:right w:val="none" w:sz="0" w:space="0" w:color="auto"/>
          </w:divBdr>
          <w:divsChild>
            <w:div w:id="236287916">
              <w:marLeft w:val="0"/>
              <w:marRight w:val="0"/>
              <w:marTop w:val="0"/>
              <w:marBottom w:val="0"/>
              <w:divBdr>
                <w:top w:val="none" w:sz="0" w:space="0" w:color="auto"/>
                <w:left w:val="none" w:sz="0" w:space="0" w:color="auto"/>
                <w:bottom w:val="none" w:sz="0" w:space="0" w:color="auto"/>
                <w:right w:val="none" w:sz="0" w:space="0" w:color="auto"/>
              </w:divBdr>
            </w:div>
          </w:divsChild>
        </w:div>
        <w:div w:id="529343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165862">
      <w:bodyDiv w:val="1"/>
      <w:marLeft w:val="0"/>
      <w:marRight w:val="0"/>
      <w:marTop w:val="0"/>
      <w:marBottom w:val="0"/>
      <w:divBdr>
        <w:top w:val="none" w:sz="0" w:space="0" w:color="auto"/>
        <w:left w:val="none" w:sz="0" w:space="0" w:color="auto"/>
        <w:bottom w:val="none" w:sz="0" w:space="0" w:color="auto"/>
        <w:right w:val="none" w:sz="0" w:space="0" w:color="auto"/>
      </w:divBdr>
    </w:div>
    <w:div w:id="1218660919">
      <w:bodyDiv w:val="1"/>
      <w:marLeft w:val="0"/>
      <w:marRight w:val="0"/>
      <w:marTop w:val="0"/>
      <w:marBottom w:val="0"/>
      <w:divBdr>
        <w:top w:val="none" w:sz="0" w:space="0" w:color="auto"/>
        <w:left w:val="none" w:sz="0" w:space="0" w:color="auto"/>
        <w:bottom w:val="none" w:sz="0" w:space="0" w:color="auto"/>
        <w:right w:val="none" w:sz="0" w:space="0" w:color="auto"/>
      </w:divBdr>
    </w:div>
    <w:div w:id="1308390443">
      <w:bodyDiv w:val="1"/>
      <w:marLeft w:val="0"/>
      <w:marRight w:val="0"/>
      <w:marTop w:val="0"/>
      <w:marBottom w:val="0"/>
      <w:divBdr>
        <w:top w:val="none" w:sz="0" w:space="0" w:color="auto"/>
        <w:left w:val="none" w:sz="0" w:space="0" w:color="auto"/>
        <w:bottom w:val="none" w:sz="0" w:space="0" w:color="auto"/>
        <w:right w:val="none" w:sz="0" w:space="0" w:color="auto"/>
      </w:divBdr>
    </w:div>
    <w:div w:id="1329209223">
      <w:bodyDiv w:val="1"/>
      <w:marLeft w:val="0"/>
      <w:marRight w:val="0"/>
      <w:marTop w:val="0"/>
      <w:marBottom w:val="0"/>
      <w:divBdr>
        <w:top w:val="none" w:sz="0" w:space="0" w:color="auto"/>
        <w:left w:val="none" w:sz="0" w:space="0" w:color="auto"/>
        <w:bottom w:val="none" w:sz="0" w:space="0" w:color="auto"/>
        <w:right w:val="none" w:sz="0" w:space="0" w:color="auto"/>
      </w:divBdr>
    </w:div>
    <w:div w:id="1442644665">
      <w:bodyDiv w:val="1"/>
      <w:marLeft w:val="0"/>
      <w:marRight w:val="0"/>
      <w:marTop w:val="0"/>
      <w:marBottom w:val="0"/>
      <w:divBdr>
        <w:top w:val="none" w:sz="0" w:space="0" w:color="auto"/>
        <w:left w:val="none" w:sz="0" w:space="0" w:color="auto"/>
        <w:bottom w:val="none" w:sz="0" w:space="0" w:color="auto"/>
        <w:right w:val="none" w:sz="0" w:space="0" w:color="auto"/>
      </w:divBdr>
    </w:div>
    <w:div w:id="1473213950">
      <w:bodyDiv w:val="1"/>
      <w:marLeft w:val="0"/>
      <w:marRight w:val="0"/>
      <w:marTop w:val="0"/>
      <w:marBottom w:val="0"/>
      <w:divBdr>
        <w:top w:val="none" w:sz="0" w:space="0" w:color="auto"/>
        <w:left w:val="none" w:sz="0" w:space="0" w:color="auto"/>
        <w:bottom w:val="none" w:sz="0" w:space="0" w:color="auto"/>
        <w:right w:val="none" w:sz="0" w:space="0" w:color="auto"/>
      </w:divBdr>
    </w:div>
    <w:div w:id="1522746255">
      <w:bodyDiv w:val="1"/>
      <w:marLeft w:val="0"/>
      <w:marRight w:val="0"/>
      <w:marTop w:val="0"/>
      <w:marBottom w:val="0"/>
      <w:divBdr>
        <w:top w:val="none" w:sz="0" w:space="0" w:color="auto"/>
        <w:left w:val="none" w:sz="0" w:space="0" w:color="auto"/>
        <w:bottom w:val="none" w:sz="0" w:space="0" w:color="auto"/>
        <w:right w:val="none" w:sz="0" w:space="0" w:color="auto"/>
      </w:divBdr>
    </w:div>
    <w:div w:id="1827013523">
      <w:bodyDiv w:val="1"/>
      <w:marLeft w:val="0"/>
      <w:marRight w:val="0"/>
      <w:marTop w:val="0"/>
      <w:marBottom w:val="0"/>
      <w:divBdr>
        <w:top w:val="none" w:sz="0" w:space="0" w:color="auto"/>
        <w:left w:val="none" w:sz="0" w:space="0" w:color="auto"/>
        <w:bottom w:val="none" w:sz="0" w:space="0" w:color="auto"/>
        <w:right w:val="none" w:sz="0" w:space="0" w:color="auto"/>
      </w:divBdr>
    </w:div>
    <w:div w:id="1873688576">
      <w:bodyDiv w:val="1"/>
      <w:marLeft w:val="0"/>
      <w:marRight w:val="0"/>
      <w:marTop w:val="0"/>
      <w:marBottom w:val="0"/>
      <w:divBdr>
        <w:top w:val="none" w:sz="0" w:space="0" w:color="auto"/>
        <w:left w:val="none" w:sz="0" w:space="0" w:color="auto"/>
        <w:bottom w:val="none" w:sz="0" w:space="0" w:color="auto"/>
        <w:right w:val="none" w:sz="0" w:space="0" w:color="auto"/>
      </w:divBdr>
    </w:div>
    <w:div w:id="1933540418">
      <w:bodyDiv w:val="1"/>
      <w:marLeft w:val="0"/>
      <w:marRight w:val="0"/>
      <w:marTop w:val="0"/>
      <w:marBottom w:val="0"/>
      <w:divBdr>
        <w:top w:val="none" w:sz="0" w:space="0" w:color="auto"/>
        <w:left w:val="none" w:sz="0" w:space="0" w:color="auto"/>
        <w:bottom w:val="none" w:sz="0" w:space="0" w:color="auto"/>
        <w:right w:val="none" w:sz="0" w:space="0" w:color="auto"/>
      </w:divBdr>
    </w:div>
    <w:div w:id="1941141060">
      <w:bodyDiv w:val="1"/>
      <w:marLeft w:val="0"/>
      <w:marRight w:val="0"/>
      <w:marTop w:val="0"/>
      <w:marBottom w:val="0"/>
      <w:divBdr>
        <w:top w:val="none" w:sz="0" w:space="0" w:color="auto"/>
        <w:left w:val="none" w:sz="0" w:space="0" w:color="auto"/>
        <w:bottom w:val="none" w:sz="0" w:space="0" w:color="auto"/>
        <w:right w:val="none" w:sz="0" w:space="0" w:color="auto"/>
      </w:divBdr>
    </w:div>
    <w:div w:id="1986667699">
      <w:bodyDiv w:val="1"/>
      <w:marLeft w:val="0"/>
      <w:marRight w:val="0"/>
      <w:marTop w:val="0"/>
      <w:marBottom w:val="0"/>
      <w:divBdr>
        <w:top w:val="none" w:sz="0" w:space="0" w:color="auto"/>
        <w:left w:val="none" w:sz="0" w:space="0" w:color="auto"/>
        <w:bottom w:val="none" w:sz="0" w:space="0" w:color="auto"/>
        <w:right w:val="none" w:sz="0" w:space="0" w:color="auto"/>
      </w:divBdr>
    </w:div>
    <w:div w:id="2038776722">
      <w:bodyDiv w:val="1"/>
      <w:marLeft w:val="0"/>
      <w:marRight w:val="0"/>
      <w:marTop w:val="0"/>
      <w:marBottom w:val="0"/>
      <w:divBdr>
        <w:top w:val="none" w:sz="0" w:space="0" w:color="auto"/>
        <w:left w:val="none" w:sz="0" w:space="0" w:color="auto"/>
        <w:bottom w:val="none" w:sz="0" w:space="0" w:color="auto"/>
        <w:right w:val="none" w:sz="0" w:space="0" w:color="auto"/>
      </w:divBdr>
    </w:div>
    <w:div w:id="2126850580">
      <w:bodyDiv w:val="1"/>
      <w:marLeft w:val="0"/>
      <w:marRight w:val="0"/>
      <w:marTop w:val="0"/>
      <w:marBottom w:val="0"/>
      <w:divBdr>
        <w:top w:val="none" w:sz="0" w:space="0" w:color="auto"/>
        <w:left w:val="none" w:sz="0" w:space="0" w:color="auto"/>
        <w:bottom w:val="none" w:sz="0" w:space="0" w:color="auto"/>
        <w:right w:val="none" w:sz="0" w:space="0" w:color="auto"/>
      </w:divBdr>
      <w:divsChild>
        <w:div w:id="130944426">
          <w:marLeft w:val="0"/>
          <w:marRight w:val="0"/>
          <w:marTop w:val="0"/>
          <w:marBottom w:val="0"/>
          <w:divBdr>
            <w:top w:val="none" w:sz="0" w:space="0" w:color="auto"/>
            <w:left w:val="none" w:sz="0" w:space="0" w:color="auto"/>
            <w:bottom w:val="none" w:sz="0" w:space="0" w:color="auto"/>
            <w:right w:val="none" w:sz="0" w:space="0" w:color="auto"/>
          </w:divBdr>
          <w:divsChild>
            <w:div w:id="19821726">
              <w:marLeft w:val="0"/>
              <w:marRight w:val="0"/>
              <w:marTop w:val="0"/>
              <w:marBottom w:val="0"/>
              <w:divBdr>
                <w:top w:val="none" w:sz="0" w:space="0" w:color="auto"/>
                <w:left w:val="none" w:sz="0" w:space="0" w:color="auto"/>
                <w:bottom w:val="none" w:sz="0" w:space="0" w:color="auto"/>
                <w:right w:val="none" w:sz="0" w:space="0" w:color="auto"/>
              </w:divBdr>
            </w:div>
          </w:divsChild>
        </w:div>
        <w:div w:id="859439716">
          <w:marLeft w:val="0"/>
          <w:marRight w:val="0"/>
          <w:marTop w:val="0"/>
          <w:marBottom w:val="0"/>
          <w:divBdr>
            <w:top w:val="none" w:sz="0" w:space="0" w:color="auto"/>
            <w:left w:val="none" w:sz="0" w:space="0" w:color="auto"/>
            <w:bottom w:val="none" w:sz="0" w:space="0" w:color="auto"/>
            <w:right w:val="none" w:sz="0" w:space="0" w:color="auto"/>
          </w:divBdr>
          <w:divsChild>
            <w:div w:id="5264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vimeloni/qld-seifa-crime-analys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qld.gov.au/dataset/offence-numbers-police-divisions-monthly-from-july-2001" TargetMode="External"/><Relationship Id="rId5" Type="http://schemas.openxmlformats.org/officeDocument/2006/relationships/hyperlink" Target="https://www.abs.gov.au/statistics/people/people-and-communities/socio-economic-indexes-areas-seifa-australia/latest-rele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Meloni</dc:creator>
  <cp:keywords/>
  <dc:description/>
  <cp:lastModifiedBy>Davi</cp:lastModifiedBy>
  <cp:revision>266</cp:revision>
  <dcterms:created xsi:type="dcterms:W3CDTF">2025-04-21T01:29:00Z</dcterms:created>
  <dcterms:modified xsi:type="dcterms:W3CDTF">2025-04-23T10:39:00Z</dcterms:modified>
</cp:coreProperties>
</file>