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7BEC1" w14:textId="12F9CDB1" w:rsidR="00670245" w:rsidRDefault="00D51652" w:rsidP="006B5243">
      <w:pPr>
        <w:pStyle w:val="Title"/>
      </w:pPr>
      <w:r w:rsidRPr="00D51652">
        <w:t>Socio-Economic Indicators and Crime: A Regression Analysis of DV and Violent Crime</w:t>
      </w:r>
      <w:r w:rsidR="00754A79">
        <w:t xml:space="preserve"> (Queensland)</w:t>
      </w:r>
    </w:p>
    <w:p w14:paraId="7A4EDFF9" w14:textId="77777777" w:rsidR="006B5243" w:rsidRPr="006B5243" w:rsidRDefault="006B5243" w:rsidP="006B5243"/>
    <w:p w14:paraId="5F91648C" w14:textId="53BBCA23" w:rsidR="003C67EE" w:rsidRDefault="003C67EE" w:rsidP="00670245">
      <w:r w:rsidRPr="00116EF2">
        <w:rPr>
          <w:b/>
          <w:bCs/>
        </w:rPr>
        <w:t>Author:</w:t>
      </w:r>
      <w:r w:rsidRPr="00116EF2">
        <w:t xml:space="preserve"> Davi Santos Meloni</w:t>
      </w:r>
      <w:r w:rsidRPr="00116EF2">
        <w:tab/>
      </w:r>
      <w:r w:rsidRPr="00116EF2">
        <w:tab/>
      </w:r>
      <w:r w:rsidRPr="00116EF2">
        <w:tab/>
      </w:r>
      <w:r w:rsidRPr="00116EF2">
        <w:tab/>
      </w:r>
      <w:r w:rsidRPr="00116EF2">
        <w:tab/>
      </w:r>
      <w:r w:rsidRPr="00116EF2">
        <w:tab/>
      </w:r>
      <w:r w:rsidRPr="00116EF2">
        <w:tab/>
      </w:r>
      <w:r w:rsidRPr="00116EF2">
        <w:tab/>
      </w:r>
      <w:r w:rsidRPr="00116EF2">
        <w:tab/>
      </w:r>
      <w:r w:rsidRPr="00116EF2">
        <w:rPr>
          <w:b/>
          <w:bCs/>
        </w:rPr>
        <w:t>Date:</w:t>
      </w:r>
      <w:r w:rsidRPr="00116EF2">
        <w:t xml:space="preserve"> </w:t>
      </w:r>
      <w:r w:rsidR="000C33AF" w:rsidRPr="00116EF2">
        <w:t>April 2025</w:t>
      </w:r>
    </w:p>
    <w:p w14:paraId="3CFA3BAB" w14:textId="77777777" w:rsidR="006B5243" w:rsidRPr="00116EF2" w:rsidRDefault="006B5243" w:rsidP="00670245"/>
    <w:p w14:paraId="1B6A8C4E" w14:textId="2825FA4F" w:rsidR="00754A79" w:rsidRDefault="00670245" w:rsidP="00754A79">
      <w:pPr>
        <w:rPr>
          <w:rStyle w:val="SubtleEmphasis"/>
        </w:rPr>
      </w:pPr>
      <w:r w:rsidRPr="00670245">
        <w:rPr>
          <w:rStyle w:val="SubtleEmphasis"/>
          <w:b/>
          <w:bCs/>
        </w:rPr>
        <w:t>Note</w:t>
      </w:r>
      <w:r w:rsidRPr="00670245">
        <w:rPr>
          <w:rStyle w:val="SubtleEmphasis"/>
        </w:rPr>
        <w:t>: This analysis was conducted as part of a self-guided learning project. While the methods and interpretations are grounded in established statistical practices, this is the author's first attempt at modeling real-world datasets. As such, results should be viewed as exploratory and subject to the typical limitations of an individual learning exercise.</w:t>
      </w:r>
    </w:p>
    <w:p w14:paraId="787839D3" w14:textId="77777777" w:rsidR="008460DC" w:rsidRPr="00670245" w:rsidRDefault="008460DC" w:rsidP="00754A79">
      <w:pPr>
        <w:rPr>
          <w:rStyle w:val="SubtleEmphasis"/>
        </w:rPr>
      </w:pPr>
    </w:p>
    <w:p w14:paraId="4435199B" w14:textId="77777777" w:rsidR="00D51652" w:rsidRPr="00D51652" w:rsidRDefault="00D51652" w:rsidP="00850B85">
      <w:pPr>
        <w:pStyle w:val="Subtitle"/>
      </w:pPr>
      <w:r w:rsidRPr="00D51652">
        <w:t>Executive Summary</w:t>
      </w:r>
    </w:p>
    <w:p w14:paraId="0373FB06" w14:textId="77777777" w:rsidR="00C76479" w:rsidRPr="00C76479" w:rsidRDefault="00C76479" w:rsidP="00C76479">
      <w:pPr>
        <w:rPr>
          <w:i/>
          <w:iCs/>
        </w:rPr>
      </w:pPr>
      <w:r w:rsidRPr="00C76479">
        <w:rPr>
          <w:i/>
          <w:iCs/>
        </w:rPr>
        <w:t>This report investigates the relationship between socio-economic conditions and crime rates, with a focus on domestic violence (DV) and violent crimes. These categories were intentionally selected due to their severe social impact and stronger ties to interpersonal and community dynamics. By excluding property and drug-related offences—often influenced by economic gain or substance use—the analysis aims to isolate how broader socio-economic disadvantage relates to crimes involving personal harm.</w:t>
      </w:r>
    </w:p>
    <w:p w14:paraId="1371D911" w14:textId="77777777" w:rsidR="00C76479" w:rsidRPr="00C76479" w:rsidRDefault="00C76479" w:rsidP="00C76479">
      <w:pPr>
        <w:rPr>
          <w:i/>
          <w:iCs/>
        </w:rPr>
      </w:pPr>
      <w:r w:rsidRPr="00C76479">
        <w:rPr>
          <w:i/>
          <w:iCs/>
        </w:rPr>
        <w:t>Using multiple linear regression models, we examined how three SEIFA indexes—IRSD (disadvantage), IER (education and employment), and IEO (economic opportunity)—predict log-transformed crime rates across local government areas in Queensland. The findings suggest that these socio-economic indicators are statistically significant predictors of both DV and violent crime patterns.</w:t>
      </w:r>
    </w:p>
    <w:p w14:paraId="11A12A62" w14:textId="77777777" w:rsidR="00C76479" w:rsidRPr="00C76479" w:rsidRDefault="00C76479" w:rsidP="00C76479">
      <w:pPr>
        <w:rPr>
          <w:i/>
          <w:iCs/>
        </w:rPr>
      </w:pPr>
      <w:r w:rsidRPr="00C76479">
        <w:rPr>
          <w:i/>
          <w:iCs/>
        </w:rPr>
        <w:t>Interestingly, while disadvantage (IRSD) was negatively associated with crime—as expected—higher scores in IER and IEO (representing greater education, employment, and economic opportunity) showed a slight positive association with crime rates. This highlights the complexity of these relationships and suggests that socio-economic advantage does not always correlate with lower levels of DV or violent crime.</w:t>
      </w:r>
    </w:p>
    <w:p w14:paraId="16F196C0" w14:textId="53FDAEDC" w:rsidR="006B5243" w:rsidRDefault="00C76479" w:rsidP="00D51652">
      <w:pPr>
        <w:rPr>
          <w:i/>
          <w:iCs/>
        </w:rPr>
      </w:pPr>
      <w:r w:rsidRPr="00C76479">
        <w:rPr>
          <w:i/>
          <w:iCs/>
        </w:rPr>
        <w:t>On a more personal note, I’ve recently started diving deeper into the world of statistical and predictive data analysis—and I’ve found myself really enjoying the process. This report was born from that curiosity and enthusiasm. Despite being very much a beginner-level project, creating it has been both a rewarding and highly educational experience. I look forward to building on this foundation with more advanced work in the future.</w:t>
      </w:r>
    </w:p>
    <w:p w14:paraId="6A699F2A" w14:textId="77777777" w:rsidR="006B5243" w:rsidRDefault="006B5243" w:rsidP="00D51652">
      <w:pPr>
        <w:rPr>
          <w:i/>
          <w:iCs/>
        </w:rPr>
      </w:pPr>
    </w:p>
    <w:p w14:paraId="05676B53" w14:textId="77777777" w:rsidR="006B5243" w:rsidRDefault="006B5243" w:rsidP="00D51652">
      <w:pPr>
        <w:rPr>
          <w:i/>
          <w:iCs/>
        </w:rPr>
      </w:pPr>
    </w:p>
    <w:p w14:paraId="197893E8" w14:textId="77777777" w:rsidR="009D5F99" w:rsidRDefault="009D5F99" w:rsidP="00D51652">
      <w:pPr>
        <w:rPr>
          <w:i/>
          <w:iCs/>
        </w:rPr>
      </w:pPr>
    </w:p>
    <w:p w14:paraId="3A7AD0AC" w14:textId="77777777" w:rsidR="009D5F99" w:rsidRDefault="009D5F99" w:rsidP="00D51652">
      <w:pPr>
        <w:rPr>
          <w:i/>
          <w:iCs/>
        </w:rPr>
      </w:pPr>
    </w:p>
    <w:p w14:paraId="1CD2BED8" w14:textId="77777777" w:rsidR="006B5243" w:rsidRDefault="006B5243" w:rsidP="00D51652">
      <w:pPr>
        <w:rPr>
          <w:i/>
          <w:iCs/>
        </w:rPr>
      </w:pPr>
    </w:p>
    <w:p w14:paraId="24663581" w14:textId="77777777" w:rsidR="006B5243" w:rsidRDefault="006B5243" w:rsidP="00D51652">
      <w:pPr>
        <w:rPr>
          <w:i/>
          <w:iCs/>
        </w:rPr>
      </w:pPr>
    </w:p>
    <w:p w14:paraId="4BB4DB9F" w14:textId="77777777" w:rsidR="006B5243" w:rsidRDefault="006B5243" w:rsidP="00D51652">
      <w:pPr>
        <w:rPr>
          <w:i/>
          <w:iCs/>
        </w:rPr>
      </w:pPr>
    </w:p>
    <w:p w14:paraId="4585F7FC" w14:textId="77777777" w:rsidR="006B5243" w:rsidRDefault="006B5243" w:rsidP="00D51652">
      <w:pPr>
        <w:rPr>
          <w:i/>
          <w:iCs/>
        </w:rPr>
      </w:pPr>
    </w:p>
    <w:p w14:paraId="378B282A" w14:textId="10B0AD15" w:rsidR="00D51652" w:rsidRPr="00D51652" w:rsidRDefault="00D51652" w:rsidP="00D51652">
      <w:pPr>
        <w:rPr>
          <w:i/>
          <w:iCs/>
        </w:rPr>
      </w:pPr>
    </w:p>
    <w:p w14:paraId="7090927F" w14:textId="77777777" w:rsidR="00D51652" w:rsidRPr="00D51652" w:rsidRDefault="00D51652" w:rsidP="004A085D">
      <w:pPr>
        <w:pStyle w:val="Heading2"/>
      </w:pPr>
      <w:r w:rsidRPr="00D51652">
        <w:lastRenderedPageBreak/>
        <w:t>1. Introduction</w:t>
      </w:r>
    </w:p>
    <w:p w14:paraId="7550F7A9" w14:textId="77777777" w:rsidR="00D51652" w:rsidRDefault="00D51652" w:rsidP="00D51652">
      <w:pPr>
        <w:rPr>
          <w:i/>
          <w:iCs/>
        </w:rPr>
      </w:pPr>
      <w:r w:rsidRPr="00D51652">
        <w:rPr>
          <w:i/>
          <w:iCs/>
        </w:rPr>
        <w:t>The purpose of this analysis is to better understand how socio-economic factors relate to violent and interpersonal forms of crime. Domestic violence-related and violent offences were chosen due to their severe impact and strong ties to social and community dynamics. In contrast, property and drug-related crimes were intentionally excluded to provide a clearer focus on the role of community-level disadvantage without potential noise from crimes more related to economic gain or substance use.</w:t>
      </w:r>
    </w:p>
    <w:p w14:paraId="3E3A1365" w14:textId="33807F17" w:rsidR="00D51652" w:rsidRPr="00D51652" w:rsidRDefault="00D51652" w:rsidP="00D51652">
      <w:pPr>
        <w:rPr>
          <w:i/>
          <w:iCs/>
        </w:rPr>
      </w:pPr>
    </w:p>
    <w:p w14:paraId="5506CD0D" w14:textId="2380DEBD" w:rsidR="00D51652" w:rsidRPr="00D51652" w:rsidRDefault="00D51652" w:rsidP="004A085D">
      <w:pPr>
        <w:pStyle w:val="Heading2"/>
      </w:pPr>
      <w:r w:rsidRPr="00D51652">
        <w:t>2. Data Sources and Preparation</w:t>
      </w:r>
    </w:p>
    <w:p w14:paraId="00F550E1" w14:textId="77777777" w:rsidR="00D51652" w:rsidRPr="00D51652" w:rsidRDefault="00D51652" w:rsidP="00D51652">
      <w:pPr>
        <w:numPr>
          <w:ilvl w:val="0"/>
          <w:numId w:val="3"/>
        </w:numPr>
        <w:rPr>
          <w:i/>
          <w:iCs/>
        </w:rPr>
      </w:pPr>
      <w:r w:rsidRPr="00D51652">
        <w:rPr>
          <w:b/>
          <w:bCs/>
          <w:i/>
          <w:iCs/>
        </w:rPr>
        <w:t>Crime Data</w:t>
      </w:r>
      <w:r w:rsidRPr="00D51652">
        <w:rPr>
          <w:i/>
          <w:iCs/>
        </w:rPr>
        <w:t>: Crime data was collected from 2018 through to the most recent available reporting period. Raw offence types were grouped into broader categories, with this analysis focusing specifically on:</w:t>
      </w:r>
    </w:p>
    <w:p w14:paraId="5E2C8374" w14:textId="77777777" w:rsidR="00D51652" w:rsidRPr="00D51652" w:rsidRDefault="00D51652" w:rsidP="00D51652">
      <w:pPr>
        <w:numPr>
          <w:ilvl w:val="1"/>
          <w:numId w:val="3"/>
        </w:numPr>
        <w:rPr>
          <w:i/>
          <w:iCs/>
        </w:rPr>
      </w:pPr>
      <w:r w:rsidRPr="00D51652">
        <w:rPr>
          <w:b/>
          <w:bCs/>
          <w:i/>
          <w:iCs/>
        </w:rPr>
        <w:t>Violent Crime</w:t>
      </w:r>
    </w:p>
    <w:p w14:paraId="6CBBF06D" w14:textId="6BC82578" w:rsidR="00D51652" w:rsidRPr="00D51652" w:rsidRDefault="00C76E71" w:rsidP="00D51652">
      <w:pPr>
        <w:numPr>
          <w:ilvl w:val="1"/>
          <w:numId w:val="3"/>
        </w:numPr>
        <w:rPr>
          <w:i/>
          <w:iCs/>
        </w:rPr>
      </w:pPr>
      <w:r>
        <w:rPr>
          <w:b/>
          <w:bCs/>
          <w:i/>
          <w:iCs/>
        </w:rPr>
        <w:t>DV</w:t>
      </w:r>
      <w:r w:rsidR="00D51652" w:rsidRPr="00D51652">
        <w:rPr>
          <w:b/>
          <w:bCs/>
          <w:i/>
          <w:iCs/>
        </w:rPr>
        <w:t>-Related Crime</w:t>
      </w:r>
      <w:r>
        <w:rPr>
          <w:b/>
          <w:bCs/>
          <w:i/>
          <w:iCs/>
        </w:rPr>
        <w:t xml:space="preserve"> (</w:t>
      </w:r>
      <w:r w:rsidRPr="00C76E71">
        <w:rPr>
          <w:b/>
          <w:bCs/>
          <w:i/>
          <w:iCs/>
        </w:rPr>
        <w:t>Breach Domestic Violence Protection Order</w:t>
      </w:r>
      <w:r>
        <w:rPr>
          <w:b/>
          <w:bCs/>
          <w:i/>
          <w:iCs/>
        </w:rPr>
        <w:t>)</w:t>
      </w:r>
    </w:p>
    <w:p w14:paraId="01037180" w14:textId="77777777" w:rsidR="00D51652" w:rsidRPr="00D51652" w:rsidRDefault="00D51652" w:rsidP="00D51652">
      <w:pPr>
        <w:numPr>
          <w:ilvl w:val="0"/>
          <w:numId w:val="3"/>
        </w:numPr>
        <w:rPr>
          <w:i/>
          <w:iCs/>
        </w:rPr>
      </w:pPr>
      <w:r w:rsidRPr="00D51652">
        <w:rPr>
          <w:b/>
          <w:bCs/>
          <w:i/>
          <w:iCs/>
        </w:rPr>
        <w:t>Socio-Economic Data</w:t>
      </w:r>
      <w:r w:rsidRPr="00D51652">
        <w:rPr>
          <w:i/>
          <w:iCs/>
        </w:rPr>
        <w:t>: SEIFA indexes (2021) were obtained from the Australian Bureau of Statistics. The following indexes were included:</w:t>
      </w:r>
    </w:p>
    <w:p w14:paraId="7C25DE30" w14:textId="77777777" w:rsidR="00D51652" w:rsidRPr="00D51652" w:rsidRDefault="00D51652" w:rsidP="00D51652">
      <w:pPr>
        <w:numPr>
          <w:ilvl w:val="1"/>
          <w:numId w:val="3"/>
        </w:numPr>
        <w:rPr>
          <w:i/>
          <w:iCs/>
        </w:rPr>
      </w:pPr>
      <w:r w:rsidRPr="00D51652">
        <w:rPr>
          <w:b/>
          <w:bCs/>
          <w:i/>
          <w:iCs/>
        </w:rPr>
        <w:t>IRSD</w:t>
      </w:r>
      <w:r w:rsidRPr="00D51652">
        <w:rPr>
          <w:i/>
          <w:iCs/>
        </w:rPr>
        <w:t>: Index of Relative Socio-Economic Disadvantage</w:t>
      </w:r>
    </w:p>
    <w:p w14:paraId="53C9DB76" w14:textId="77777777" w:rsidR="00D51652" w:rsidRPr="00D51652" w:rsidRDefault="00D51652" w:rsidP="00D51652">
      <w:pPr>
        <w:numPr>
          <w:ilvl w:val="1"/>
          <w:numId w:val="3"/>
        </w:numPr>
        <w:rPr>
          <w:i/>
          <w:iCs/>
        </w:rPr>
      </w:pPr>
      <w:r w:rsidRPr="00D51652">
        <w:rPr>
          <w:b/>
          <w:bCs/>
          <w:i/>
          <w:iCs/>
        </w:rPr>
        <w:t>IER</w:t>
      </w:r>
      <w:r w:rsidRPr="00D51652">
        <w:rPr>
          <w:i/>
          <w:iCs/>
        </w:rPr>
        <w:t>: Index of Education and Employment</w:t>
      </w:r>
    </w:p>
    <w:p w14:paraId="01F52533" w14:textId="77777777" w:rsidR="00D51652" w:rsidRPr="00D51652" w:rsidRDefault="00D51652" w:rsidP="00D51652">
      <w:pPr>
        <w:numPr>
          <w:ilvl w:val="1"/>
          <w:numId w:val="3"/>
        </w:numPr>
        <w:rPr>
          <w:i/>
          <w:iCs/>
        </w:rPr>
      </w:pPr>
      <w:r w:rsidRPr="00D51652">
        <w:rPr>
          <w:b/>
          <w:bCs/>
          <w:i/>
          <w:iCs/>
        </w:rPr>
        <w:t>IEO</w:t>
      </w:r>
      <w:r w:rsidRPr="00D51652">
        <w:rPr>
          <w:i/>
          <w:iCs/>
        </w:rPr>
        <w:t>: Index of Economic Opportunity</w:t>
      </w:r>
    </w:p>
    <w:p w14:paraId="03434D9A" w14:textId="77777777" w:rsidR="00FA0699" w:rsidRPr="00FA0699" w:rsidRDefault="00FA0699" w:rsidP="00FA0699">
      <w:pPr>
        <w:rPr>
          <w:i/>
          <w:iCs/>
        </w:rPr>
      </w:pPr>
      <w:r w:rsidRPr="00FA0699">
        <w:rPr>
          <w:i/>
          <w:iCs/>
        </w:rPr>
        <w:t xml:space="preserve">This analysis is based on data from </w:t>
      </w:r>
      <w:r w:rsidRPr="00FA0699">
        <w:rPr>
          <w:b/>
          <w:bCs/>
          <w:i/>
          <w:iCs/>
        </w:rPr>
        <w:t>234 Queensland police divisions</w:t>
      </w:r>
      <w:r w:rsidRPr="00FA0699">
        <w:rPr>
          <w:i/>
          <w:iCs/>
        </w:rPr>
        <w:t>, each matched to corresponding suburb-level socio-economic indexes from the SEIFA dataset. Not all police divisions were included, as some could not be reliably matched to SEIFA suburbs. Rather than attempting to manually combine or interpolate SEIFA scores—which could have introduced bias or compromised the accuracy of the data—those unmatched divisions were excluded. After excluding divisions with minimal population, the final dataset of 234 divisions was deemed sufficient to produce meaningful insights while maintaining the integrity and transparency of the analysis.</w:t>
      </w:r>
    </w:p>
    <w:p w14:paraId="0676992F" w14:textId="790AEF05" w:rsidR="00A17901" w:rsidRPr="00FA0699" w:rsidRDefault="00A17901" w:rsidP="00D51652">
      <w:pPr>
        <w:rPr>
          <w:i/>
          <w:iCs/>
        </w:rPr>
      </w:pPr>
    </w:p>
    <w:p w14:paraId="325395A3" w14:textId="65C30A7F" w:rsidR="00D51652" w:rsidRPr="00D51652" w:rsidRDefault="00D51652" w:rsidP="004A085D">
      <w:pPr>
        <w:pStyle w:val="Heading2"/>
      </w:pPr>
      <w:r w:rsidRPr="00D51652">
        <w:t>3. Methodology</w:t>
      </w:r>
    </w:p>
    <w:p w14:paraId="4BA0632F" w14:textId="77777777" w:rsidR="00D51652" w:rsidRPr="00D51652" w:rsidRDefault="00D51652" w:rsidP="00D51652">
      <w:pPr>
        <w:rPr>
          <w:b/>
          <w:bCs/>
          <w:i/>
          <w:iCs/>
        </w:rPr>
      </w:pPr>
      <w:r w:rsidRPr="00D51652">
        <w:rPr>
          <w:b/>
          <w:bCs/>
          <w:i/>
          <w:iCs/>
        </w:rPr>
        <w:t>3.1 Regression Approach</w:t>
      </w:r>
    </w:p>
    <w:p w14:paraId="3A8C28E2" w14:textId="06C2DA9A" w:rsidR="00754A79" w:rsidRPr="00D51652" w:rsidRDefault="00D51652" w:rsidP="00D51652">
      <w:pPr>
        <w:rPr>
          <w:i/>
          <w:iCs/>
        </w:rPr>
      </w:pPr>
      <w:r w:rsidRPr="00D51652">
        <w:rPr>
          <w:i/>
          <w:iCs/>
        </w:rPr>
        <w:t>Multiple linear regression was used to model the relationship between SEIFA scores and crime rates. Both DV-related crime and violent crime were log-transformed to improve normality and interpret results in terms of proportional change.</w:t>
      </w:r>
    </w:p>
    <w:p w14:paraId="0C29B2FA" w14:textId="77777777" w:rsidR="00D51652" w:rsidRPr="00D51652" w:rsidRDefault="00D51652" w:rsidP="00D51652">
      <w:pPr>
        <w:rPr>
          <w:b/>
          <w:bCs/>
          <w:i/>
          <w:iCs/>
        </w:rPr>
      </w:pPr>
      <w:r w:rsidRPr="00D51652">
        <w:rPr>
          <w:b/>
          <w:bCs/>
          <w:i/>
          <w:iCs/>
        </w:rPr>
        <w:t>3.2 Model Design</w:t>
      </w:r>
    </w:p>
    <w:p w14:paraId="36C3D6B2" w14:textId="77777777" w:rsidR="00D51652" w:rsidRPr="00D51652" w:rsidRDefault="00D51652" w:rsidP="00D51652">
      <w:pPr>
        <w:numPr>
          <w:ilvl w:val="0"/>
          <w:numId w:val="4"/>
        </w:numPr>
        <w:rPr>
          <w:i/>
          <w:iCs/>
        </w:rPr>
      </w:pPr>
      <w:r w:rsidRPr="00D51652">
        <w:rPr>
          <w:b/>
          <w:bCs/>
          <w:i/>
          <w:iCs/>
        </w:rPr>
        <w:t>Dependent Variables</w:t>
      </w:r>
      <w:r w:rsidRPr="00D51652">
        <w:rPr>
          <w:i/>
          <w:iCs/>
        </w:rPr>
        <w:t>:</w:t>
      </w:r>
    </w:p>
    <w:p w14:paraId="12103525" w14:textId="77777777" w:rsidR="00D51652" w:rsidRPr="00D51652" w:rsidRDefault="00D51652" w:rsidP="00D51652">
      <w:pPr>
        <w:numPr>
          <w:ilvl w:val="1"/>
          <w:numId w:val="4"/>
        </w:numPr>
        <w:rPr>
          <w:i/>
          <w:iCs/>
        </w:rPr>
      </w:pPr>
      <w:r w:rsidRPr="00D51652">
        <w:rPr>
          <w:i/>
          <w:iCs/>
        </w:rPr>
        <w:t>log_DV_Crime</w:t>
      </w:r>
    </w:p>
    <w:p w14:paraId="12D3950D" w14:textId="77777777" w:rsidR="00D51652" w:rsidRPr="00D51652" w:rsidRDefault="00D51652" w:rsidP="00D51652">
      <w:pPr>
        <w:numPr>
          <w:ilvl w:val="1"/>
          <w:numId w:val="4"/>
        </w:numPr>
        <w:rPr>
          <w:i/>
          <w:iCs/>
        </w:rPr>
      </w:pPr>
      <w:r w:rsidRPr="00D51652">
        <w:rPr>
          <w:i/>
          <w:iCs/>
        </w:rPr>
        <w:t>log_Violent_Crime</w:t>
      </w:r>
    </w:p>
    <w:p w14:paraId="5A09C792" w14:textId="77777777" w:rsidR="00D51652" w:rsidRPr="00D51652" w:rsidRDefault="00D51652" w:rsidP="00D51652">
      <w:pPr>
        <w:numPr>
          <w:ilvl w:val="0"/>
          <w:numId w:val="4"/>
        </w:numPr>
        <w:rPr>
          <w:i/>
          <w:iCs/>
        </w:rPr>
      </w:pPr>
      <w:r w:rsidRPr="00D51652">
        <w:rPr>
          <w:b/>
          <w:bCs/>
          <w:i/>
          <w:iCs/>
        </w:rPr>
        <w:t>Independent Variables</w:t>
      </w:r>
      <w:r w:rsidRPr="00D51652">
        <w:rPr>
          <w:i/>
          <w:iCs/>
        </w:rPr>
        <w:t>:</w:t>
      </w:r>
    </w:p>
    <w:p w14:paraId="443A208D" w14:textId="77777777" w:rsidR="00D51652" w:rsidRPr="00D51652" w:rsidRDefault="00D51652" w:rsidP="00D51652">
      <w:pPr>
        <w:numPr>
          <w:ilvl w:val="1"/>
          <w:numId w:val="4"/>
        </w:numPr>
        <w:rPr>
          <w:i/>
          <w:iCs/>
        </w:rPr>
      </w:pPr>
      <w:r w:rsidRPr="00D51652">
        <w:rPr>
          <w:i/>
          <w:iCs/>
        </w:rPr>
        <w:t>IRSD Score</w:t>
      </w:r>
    </w:p>
    <w:p w14:paraId="04FFAC60" w14:textId="77777777" w:rsidR="00D51652" w:rsidRPr="00D51652" w:rsidRDefault="00D51652" w:rsidP="00D51652">
      <w:pPr>
        <w:numPr>
          <w:ilvl w:val="1"/>
          <w:numId w:val="4"/>
        </w:numPr>
        <w:rPr>
          <w:i/>
          <w:iCs/>
        </w:rPr>
      </w:pPr>
      <w:r w:rsidRPr="00D51652">
        <w:rPr>
          <w:i/>
          <w:iCs/>
        </w:rPr>
        <w:t>IER Score</w:t>
      </w:r>
    </w:p>
    <w:p w14:paraId="6E40190F" w14:textId="36A4EAEB" w:rsidR="00A57D51" w:rsidRDefault="00D51652" w:rsidP="00A57D51">
      <w:pPr>
        <w:numPr>
          <w:ilvl w:val="1"/>
          <w:numId w:val="4"/>
        </w:numPr>
        <w:rPr>
          <w:i/>
          <w:iCs/>
        </w:rPr>
      </w:pPr>
      <w:r w:rsidRPr="00D51652">
        <w:rPr>
          <w:i/>
          <w:iCs/>
        </w:rPr>
        <w:t>IEO Score</w:t>
      </w:r>
    </w:p>
    <w:p w14:paraId="5888FBBE" w14:textId="77777777" w:rsidR="00A57D51" w:rsidRPr="00A57D51" w:rsidRDefault="00A57D51" w:rsidP="00A57D51">
      <w:pPr>
        <w:rPr>
          <w:i/>
          <w:iCs/>
        </w:rPr>
      </w:pPr>
    </w:p>
    <w:p w14:paraId="3D2E00C5" w14:textId="77777777" w:rsidR="00A57D51" w:rsidRPr="00A57D51" w:rsidRDefault="00A57D51" w:rsidP="00A57D51">
      <w:pPr>
        <w:rPr>
          <w:b/>
          <w:bCs/>
          <w:i/>
          <w:iCs/>
        </w:rPr>
      </w:pPr>
      <w:r w:rsidRPr="00A57D51">
        <w:rPr>
          <w:b/>
          <w:bCs/>
          <w:i/>
          <w:iCs/>
        </w:rPr>
        <w:lastRenderedPageBreak/>
        <w:t>3.3 Interpretation Strategy</w:t>
      </w:r>
    </w:p>
    <w:p w14:paraId="28E047A8" w14:textId="77777777" w:rsidR="00A57D51" w:rsidRPr="00A57D51" w:rsidRDefault="00A57D51" w:rsidP="00A57D51">
      <w:pPr>
        <w:rPr>
          <w:i/>
          <w:iCs/>
        </w:rPr>
      </w:pPr>
      <w:r w:rsidRPr="00A57D51">
        <w:rPr>
          <w:i/>
          <w:iCs/>
        </w:rPr>
        <w:t>The primary focus of interpretation was on:</w:t>
      </w:r>
    </w:p>
    <w:p w14:paraId="3F29B373" w14:textId="77777777" w:rsidR="00A57D51" w:rsidRPr="00A57D51" w:rsidRDefault="00A57D51" w:rsidP="00A57D51">
      <w:pPr>
        <w:numPr>
          <w:ilvl w:val="0"/>
          <w:numId w:val="9"/>
        </w:numPr>
        <w:rPr>
          <w:i/>
          <w:iCs/>
        </w:rPr>
      </w:pPr>
      <w:r w:rsidRPr="00A57D51">
        <w:rPr>
          <w:i/>
          <w:iCs/>
        </w:rPr>
        <w:t xml:space="preserve">The </w:t>
      </w:r>
      <w:r w:rsidRPr="00A57D51">
        <w:rPr>
          <w:b/>
          <w:bCs/>
          <w:i/>
          <w:iCs/>
        </w:rPr>
        <w:t>direction</w:t>
      </w:r>
      <w:r w:rsidRPr="00A57D51">
        <w:rPr>
          <w:i/>
          <w:iCs/>
        </w:rPr>
        <w:t xml:space="preserve"> of each coefficient (positive or negative)</w:t>
      </w:r>
    </w:p>
    <w:p w14:paraId="3DD61E31" w14:textId="77777777" w:rsidR="00A57D51" w:rsidRPr="00A57D51" w:rsidRDefault="00A57D51" w:rsidP="00A57D51">
      <w:pPr>
        <w:numPr>
          <w:ilvl w:val="0"/>
          <w:numId w:val="9"/>
        </w:numPr>
        <w:rPr>
          <w:i/>
          <w:iCs/>
        </w:rPr>
      </w:pPr>
      <w:r w:rsidRPr="00A57D51">
        <w:rPr>
          <w:i/>
          <w:iCs/>
        </w:rPr>
        <w:t xml:space="preserve">The </w:t>
      </w:r>
      <w:r w:rsidRPr="00A57D51">
        <w:rPr>
          <w:b/>
          <w:bCs/>
          <w:i/>
          <w:iCs/>
        </w:rPr>
        <w:t>magnitude</w:t>
      </w:r>
      <w:r w:rsidRPr="00A57D51">
        <w:rPr>
          <w:i/>
          <w:iCs/>
        </w:rPr>
        <w:t>, which reflects the change in log-crime rates per one-unit increase in SEIFA score</w:t>
      </w:r>
    </w:p>
    <w:p w14:paraId="5A51085A" w14:textId="77777777" w:rsidR="00A57D51" w:rsidRPr="00A57D51" w:rsidRDefault="00A57D51" w:rsidP="00A57D51">
      <w:pPr>
        <w:numPr>
          <w:ilvl w:val="0"/>
          <w:numId w:val="9"/>
        </w:numPr>
        <w:rPr>
          <w:i/>
          <w:iCs/>
        </w:rPr>
      </w:pPr>
      <w:r w:rsidRPr="00A57D51">
        <w:rPr>
          <w:i/>
          <w:iCs/>
        </w:rPr>
        <w:t xml:space="preserve">The </w:t>
      </w:r>
      <w:r w:rsidRPr="00A57D51">
        <w:rPr>
          <w:b/>
          <w:bCs/>
          <w:i/>
          <w:iCs/>
        </w:rPr>
        <w:t>p-values</w:t>
      </w:r>
      <w:r w:rsidRPr="00A57D51">
        <w:rPr>
          <w:i/>
          <w:iCs/>
        </w:rPr>
        <w:t>, used to assess whether each socio-economic factor is a statistically significant predictor of crime rates (threshold: p &lt; 0.05)</w:t>
      </w:r>
    </w:p>
    <w:p w14:paraId="5595037B" w14:textId="1A2E8529" w:rsidR="00A57D51" w:rsidRPr="00D51652" w:rsidRDefault="00A57D51" w:rsidP="00A57D51">
      <w:pPr>
        <w:rPr>
          <w:i/>
          <w:iCs/>
        </w:rPr>
      </w:pPr>
      <w:r w:rsidRPr="00A57D51">
        <w:rPr>
          <w:i/>
          <w:iCs/>
        </w:rPr>
        <w:t xml:space="preserve">By log-transforming the dependent variables, the coefficients can be interpreted approximately as the </w:t>
      </w:r>
      <w:r w:rsidRPr="00A57D51">
        <w:rPr>
          <w:b/>
          <w:bCs/>
          <w:i/>
          <w:iCs/>
        </w:rPr>
        <w:t>percentage change in crime rates</w:t>
      </w:r>
      <w:r w:rsidRPr="00A57D51">
        <w:rPr>
          <w:i/>
          <w:iCs/>
        </w:rPr>
        <w:t xml:space="preserve"> associated with a one-unit increase in each SEIFA index.</w:t>
      </w:r>
    </w:p>
    <w:p w14:paraId="7A79A92D" w14:textId="63985AF6" w:rsidR="00D51652" w:rsidRPr="00D51652" w:rsidRDefault="00D51652" w:rsidP="00D51652">
      <w:pPr>
        <w:rPr>
          <w:i/>
          <w:iCs/>
        </w:rPr>
      </w:pPr>
    </w:p>
    <w:p w14:paraId="285C21C1" w14:textId="77777777" w:rsidR="00D51652" w:rsidRPr="00D51652" w:rsidRDefault="00D51652" w:rsidP="00850B85">
      <w:pPr>
        <w:pStyle w:val="Heading2"/>
      </w:pPr>
      <w:r w:rsidRPr="00D51652">
        <w:t>4. Results</w:t>
      </w:r>
    </w:p>
    <w:p w14:paraId="7187AD12" w14:textId="77777777" w:rsidR="00D51652" w:rsidRPr="00D51652" w:rsidRDefault="00D51652" w:rsidP="00D51652">
      <w:pPr>
        <w:rPr>
          <w:b/>
          <w:bCs/>
          <w:i/>
          <w:iCs/>
        </w:rPr>
      </w:pPr>
      <w:r w:rsidRPr="00D51652">
        <w:rPr>
          <w:b/>
          <w:bCs/>
          <w:i/>
          <w:iCs/>
        </w:rPr>
        <w:t>4.1 Model 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1100"/>
        <w:gridCol w:w="2053"/>
      </w:tblGrid>
      <w:tr w:rsidR="00D51652" w:rsidRPr="00D51652" w14:paraId="7534AFCE" w14:textId="77777777" w:rsidTr="00D51652">
        <w:trPr>
          <w:tblHeader/>
          <w:tblCellSpacing w:w="15" w:type="dxa"/>
        </w:trPr>
        <w:tc>
          <w:tcPr>
            <w:tcW w:w="0" w:type="auto"/>
            <w:vAlign w:val="center"/>
            <w:hideMark/>
          </w:tcPr>
          <w:p w14:paraId="7D078212" w14:textId="77777777" w:rsidR="00D51652" w:rsidRPr="00D51652" w:rsidRDefault="00D51652" w:rsidP="00D51652">
            <w:pPr>
              <w:rPr>
                <w:b/>
                <w:bCs/>
                <w:i/>
                <w:iCs/>
              </w:rPr>
            </w:pPr>
            <w:r w:rsidRPr="00D51652">
              <w:rPr>
                <w:b/>
                <w:bCs/>
                <w:i/>
                <w:iCs/>
              </w:rPr>
              <w:t>Crime Type</w:t>
            </w:r>
          </w:p>
        </w:tc>
        <w:tc>
          <w:tcPr>
            <w:tcW w:w="0" w:type="auto"/>
            <w:vAlign w:val="center"/>
            <w:hideMark/>
          </w:tcPr>
          <w:p w14:paraId="2415FA88" w14:textId="77777777" w:rsidR="00D51652" w:rsidRPr="00D51652" w:rsidRDefault="00D51652" w:rsidP="00D51652">
            <w:pPr>
              <w:rPr>
                <w:b/>
                <w:bCs/>
                <w:i/>
                <w:iCs/>
              </w:rPr>
            </w:pPr>
            <w:r w:rsidRPr="00D51652">
              <w:rPr>
                <w:b/>
                <w:bCs/>
                <w:i/>
                <w:iCs/>
              </w:rPr>
              <w:t>R-squared</w:t>
            </w:r>
          </w:p>
        </w:tc>
        <w:tc>
          <w:tcPr>
            <w:tcW w:w="0" w:type="auto"/>
            <w:vAlign w:val="center"/>
            <w:hideMark/>
          </w:tcPr>
          <w:p w14:paraId="7A38EEF9" w14:textId="77777777" w:rsidR="00D51652" w:rsidRPr="00D51652" w:rsidRDefault="00D51652" w:rsidP="00D51652">
            <w:pPr>
              <w:rPr>
                <w:b/>
                <w:bCs/>
                <w:i/>
                <w:iCs/>
              </w:rPr>
            </w:pPr>
            <w:r w:rsidRPr="00D51652">
              <w:rPr>
                <w:b/>
                <w:bCs/>
                <w:i/>
                <w:iCs/>
              </w:rPr>
              <w:t>Adjusted R-squared</w:t>
            </w:r>
          </w:p>
        </w:tc>
      </w:tr>
      <w:tr w:rsidR="00D51652" w:rsidRPr="00D51652" w14:paraId="1D36FBF7" w14:textId="77777777" w:rsidTr="00D51652">
        <w:trPr>
          <w:tblCellSpacing w:w="15" w:type="dxa"/>
        </w:trPr>
        <w:tc>
          <w:tcPr>
            <w:tcW w:w="0" w:type="auto"/>
            <w:vAlign w:val="center"/>
            <w:hideMark/>
          </w:tcPr>
          <w:p w14:paraId="01495AAA" w14:textId="77777777" w:rsidR="00D51652" w:rsidRPr="00D51652" w:rsidRDefault="00D51652" w:rsidP="00D51652">
            <w:pPr>
              <w:rPr>
                <w:i/>
                <w:iCs/>
              </w:rPr>
            </w:pPr>
            <w:r w:rsidRPr="00D51652">
              <w:rPr>
                <w:i/>
                <w:iCs/>
              </w:rPr>
              <w:t>DV-Related Crime</w:t>
            </w:r>
          </w:p>
        </w:tc>
        <w:tc>
          <w:tcPr>
            <w:tcW w:w="0" w:type="auto"/>
            <w:vAlign w:val="center"/>
            <w:hideMark/>
          </w:tcPr>
          <w:p w14:paraId="7627E3BA" w14:textId="77777777" w:rsidR="00D51652" w:rsidRPr="00D51652" w:rsidRDefault="00D51652" w:rsidP="00D51652">
            <w:pPr>
              <w:rPr>
                <w:i/>
                <w:iCs/>
              </w:rPr>
            </w:pPr>
            <w:r w:rsidRPr="00D51652">
              <w:rPr>
                <w:i/>
                <w:iCs/>
              </w:rPr>
              <w:t>0.966</w:t>
            </w:r>
          </w:p>
        </w:tc>
        <w:tc>
          <w:tcPr>
            <w:tcW w:w="0" w:type="auto"/>
            <w:vAlign w:val="center"/>
            <w:hideMark/>
          </w:tcPr>
          <w:p w14:paraId="73584AB5" w14:textId="77777777" w:rsidR="00D51652" w:rsidRPr="00D51652" w:rsidRDefault="00D51652" w:rsidP="00D51652">
            <w:pPr>
              <w:rPr>
                <w:i/>
                <w:iCs/>
              </w:rPr>
            </w:pPr>
            <w:r w:rsidRPr="00D51652">
              <w:rPr>
                <w:i/>
                <w:iCs/>
              </w:rPr>
              <w:t>0.960</w:t>
            </w:r>
          </w:p>
        </w:tc>
      </w:tr>
      <w:tr w:rsidR="00D51652" w:rsidRPr="00D51652" w14:paraId="3E2F7D67" w14:textId="77777777" w:rsidTr="00D51652">
        <w:trPr>
          <w:tblCellSpacing w:w="15" w:type="dxa"/>
        </w:trPr>
        <w:tc>
          <w:tcPr>
            <w:tcW w:w="0" w:type="auto"/>
            <w:vAlign w:val="center"/>
            <w:hideMark/>
          </w:tcPr>
          <w:p w14:paraId="616CF018" w14:textId="77777777" w:rsidR="00D51652" w:rsidRPr="00D51652" w:rsidRDefault="00D51652" w:rsidP="00D51652">
            <w:pPr>
              <w:rPr>
                <w:i/>
                <w:iCs/>
              </w:rPr>
            </w:pPr>
            <w:r w:rsidRPr="00D51652">
              <w:rPr>
                <w:i/>
                <w:iCs/>
              </w:rPr>
              <w:t>Violent Crime</w:t>
            </w:r>
          </w:p>
        </w:tc>
        <w:tc>
          <w:tcPr>
            <w:tcW w:w="0" w:type="auto"/>
            <w:vAlign w:val="center"/>
            <w:hideMark/>
          </w:tcPr>
          <w:p w14:paraId="2B43BFDB" w14:textId="77777777" w:rsidR="00D51652" w:rsidRPr="00D51652" w:rsidRDefault="00D51652" w:rsidP="00D51652">
            <w:pPr>
              <w:rPr>
                <w:i/>
                <w:iCs/>
              </w:rPr>
            </w:pPr>
            <w:r w:rsidRPr="00D51652">
              <w:rPr>
                <w:i/>
                <w:iCs/>
              </w:rPr>
              <w:t>0.980</w:t>
            </w:r>
          </w:p>
        </w:tc>
        <w:tc>
          <w:tcPr>
            <w:tcW w:w="0" w:type="auto"/>
            <w:vAlign w:val="center"/>
            <w:hideMark/>
          </w:tcPr>
          <w:p w14:paraId="6124070E" w14:textId="77777777" w:rsidR="00D51652" w:rsidRPr="00D51652" w:rsidRDefault="00D51652" w:rsidP="00D51652">
            <w:pPr>
              <w:rPr>
                <w:i/>
                <w:iCs/>
              </w:rPr>
            </w:pPr>
            <w:r w:rsidRPr="00D51652">
              <w:rPr>
                <w:i/>
                <w:iCs/>
              </w:rPr>
              <w:t>0.975</w:t>
            </w:r>
          </w:p>
        </w:tc>
      </w:tr>
    </w:tbl>
    <w:p w14:paraId="3EEA9FAD" w14:textId="77777777" w:rsidR="00D51652" w:rsidRPr="00D51652" w:rsidRDefault="00D51652" w:rsidP="00D51652">
      <w:pPr>
        <w:rPr>
          <w:i/>
          <w:iCs/>
        </w:rPr>
      </w:pPr>
      <w:r w:rsidRPr="00D51652">
        <w:rPr>
          <w:i/>
          <w:iCs/>
        </w:rPr>
        <w:t>The models explain over 96% and 98% of the variance in DV-related and violent crime, respectively.</w:t>
      </w:r>
    </w:p>
    <w:p w14:paraId="49FC7FB9" w14:textId="77777777" w:rsidR="00D51652" w:rsidRPr="00D51652" w:rsidRDefault="00D51652" w:rsidP="00D51652">
      <w:pPr>
        <w:rPr>
          <w:b/>
          <w:bCs/>
          <w:i/>
          <w:iCs/>
        </w:rPr>
      </w:pPr>
      <w:r w:rsidRPr="00D51652">
        <w:rPr>
          <w:b/>
          <w:bCs/>
          <w:i/>
          <w:iCs/>
        </w:rPr>
        <w:t>4.2 Coefficients</w:t>
      </w:r>
    </w:p>
    <w:p w14:paraId="76BCA7CF" w14:textId="77777777" w:rsidR="00D51652" w:rsidRPr="00D51652" w:rsidRDefault="00D51652" w:rsidP="00D51652">
      <w:pPr>
        <w:rPr>
          <w:i/>
          <w:iCs/>
        </w:rPr>
      </w:pPr>
      <w:r w:rsidRPr="00D51652">
        <w:rPr>
          <w:i/>
          <w:iCs/>
        </w:rPr>
        <w:t>The table below shows the regression coefficients for each SEIFA score:</w:t>
      </w:r>
    </w:p>
    <w:p w14:paraId="3E7E949B" w14:textId="3BAAE5E7" w:rsidR="00D51652" w:rsidRPr="00D51652" w:rsidRDefault="00702CB2" w:rsidP="00D51652">
      <w:pPr>
        <w:rPr>
          <w:i/>
          <w:iCs/>
        </w:rPr>
      </w:pPr>
      <w:r>
        <w:rPr>
          <w:i/>
          <w:iCs/>
          <w:noProof/>
        </w:rPr>
        <w:drawing>
          <wp:inline distT="0" distB="0" distL="0" distR="0" wp14:anchorId="2642AAA2" wp14:editId="092D4F70">
            <wp:extent cx="6645910" cy="2597150"/>
            <wp:effectExtent l="0" t="0" r="2540" b="0"/>
            <wp:docPr id="1712163248" name="Picture 1" descr="A close-up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63248" name="Picture 1" descr="A close-up of a graph"/>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2597150"/>
                    </a:xfrm>
                    <a:prstGeom prst="rect">
                      <a:avLst/>
                    </a:prstGeom>
                  </pic:spPr>
                </pic:pic>
              </a:graphicData>
            </a:graphic>
          </wp:inline>
        </w:drawing>
      </w:r>
    </w:p>
    <w:tbl>
      <w:tblPr>
        <w:tblW w:w="7263" w:type="dxa"/>
        <w:tblCellSpacing w:w="15" w:type="dxa"/>
        <w:tblCellMar>
          <w:top w:w="15" w:type="dxa"/>
          <w:left w:w="15" w:type="dxa"/>
          <w:bottom w:w="15" w:type="dxa"/>
          <w:right w:w="15" w:type="dxa"/>
        </w:tblCellMar>
        <w:tblLook w:val="04A0" w:firstRow="1" w:lastRow="0" w:firstColumn="1" w:lastColumn="0" w:noHBand="0" w:noVBand="1"/>
      </w:tblPr>
      <w:tblGrid>
        <w:gridCol w:w="1536"/>
        <w:gridCol w:w="2603"/>
        <w:gridCol w:w="3124"/>
      </w:tblGrid>
      <w:tr w:rsidR="00D51652" w:rsidRPr="00D51652" w14:paraId="6C03A5E3" w14:textId="77777777" w:rsidTr="006B5243">
        <w:trPr>
          <w:trHeight w:hRule="exact" w:val="567"/>
          <w:tblHeader/>
          <w:tblCellSpacing w:w="15" w:type="dxa"/>
        </w:trPr>
        <w:tc>
          <w:tcPr>
            <w:tcW w:w="0" w:type="auto"/>
            <w:vAlign w:val="center"/>
            <w:hideMark/>
          </w:tcPr>
          <w:p w14:paraId="1917C113" w14:textId="0693CC1D" w:rsidR="00D51652" w:rsidRPr="00D51652" w:rsidRDefault="00D51652" w:rsidP="00D51652">
            <w:pPr>
              <w:rPr>
                <w:b/>
                <w:bCs/>
                <w:i/>
                <w:iCs/>
              </w:rPr>
            </w:pPr>
            <w:r w:rsidRPr="00D51652">
              <w:rPr>
                <w:b/>
                <w:bCs/>
                <w:i/>
                <w:iCs/>
              </w:rPr>
              <w:t>SEIFA Score</w:t>
            </w:r>
          </w:p>
        </w:tc>
        <w:tc>
          <w:tcPr>
            <w:tcW w:w="0" w:type="auto"/>
            <w:vAlign w:val="bottom"/>
            <w:hideMark/>
          </w:tcPr>
          <w:p w14:paraId="3F56A34F" w14:textId="77777777" w:rsidR="00D51652" w:rsidRPr="00D51652" w:rsidRDefault="00D51652" w:rsidP="00D51652">
            <w:pPr>
              <w:rPr>
                <w:b/>
                <w:bCs/>
                <w:i/>
                <w:iCs/>
              </w:rPr>
            </w:pPr>
            <w:r w:rsidRPr="00D51652">
              <w:rPr>
                <w:b/>
                <w:bCs/>
                <w:i/>
                <w:iCs/>
              </w:rPr>
              <w:t>DV Crime Coefficient</w:t>
            </w:r>
          </w:p>
        </w:tc>
        <w:tc>
          <w:tcPr>
            <w:tcW w:w="0" w:type="auto"/>
            <w:vAlign w:val="bottom"/>
            <w:hideMark/>
          </w:tcPr>
          <w:p w14:paraId="79C3EA62" w14:textId="5AB6DCB8" w:rsidR="00D51652" w:rsidRPr="00D51652" w:rsidRDefault="00D51652" w:rsidP="00D51652">
            <w:pPr>
              <w:rPr>
                <w:b/>
                <w:bCs/>
                <w:i/>
                <w:iCs/>
              </w:rPr>
            </w:pPr>
            <w:r w:rsidRPr="00D51652">
              <w:rPr>
                <w:b/>
                <w:bCs/>
                <w:i/>
                <w:iCs/>
              </w:rPr>
              <w:t>Violent Crime Coefficient</w:t>
            </w:r>
          </w:p>
        </w:tc>
      </w:tr>
      <w:tr w:rsidR="00D51652" w:rsidRPr="00D51652" w14:paraId="0D03001A" w14:textId="77777777" w:rsidTr="006B5243">
        <w:trPr>
          <w:trHeight w:hRule="exact" w:val="567"/>
          <w:tblCellSpacing w:w="15" w:type="dxa"/>
        </w:trPr>
        <w:tc>
          <w:tcPr>
            <w:tcW w:w="0" w:type="auto"/>
            <w:vAlign w:val="center"/>
            <w:hideMark/>
          </w:tcPr>
          <w:p w14:paraId="62FFF212" w14:textId="77777777" w:rsidR="00D51652" w:rsidRPr="00D51652" w:rsidRDefault="00D51652" w:rsidP="00D51652">
            <w:pPr>
              <w:rPr>
                <w:i/>
                <w:iCs/>
              </w:rPr>
            </w:pPr>
            <w:r w:rsidRPr="00D51652">
              <w:rPr>
                <w:i/>
                <w:iCs/>
              </w:rPr>
              <w:t>IRSD Score</w:t>
            </w:r>
          </w:p>
        </w:tc>
        <w:tc>
          <w:tcPr>
            <w:tcW w:w="0" w:type="auto"/>
            <w:vAlign w:val="center"/>
            <w:hideMark/>
          </w:tcPr>
          <w:p w14:paraId="0FF67914" w14:textId="77777777" w:rsidR="00D51652" w:rsidRPr="00D51652" w:rsidRDefault="00D51652" w:rsidP="00D51652">
            <w:pPr>
              <w:rPr>
                <w:i/>
                <w:iCs/>
              </w:rPr>
            </w:pPr>
            <w:r w:rsidRPr="00D51652">
              <w:rPr>
                <w:i/>
                <w:iCs/>
              </w:rPr>
              <w:t>-0.0150</w:t>
            </w:r>
          </w:p>
        </w:tc>
        <w:tc>
          <w:tcPr>
            <w:tcW w:w="0" w:type="auto"/>
            <w:vAlign w:val="center"/>
            <w:hideMark/>
          </w:tcPr>
          <w:p w14:paraId="7D8FB440" w14:textId="77777777" w:rsidR="00D51652" w:rsidRPr="00D51652" w:rsidRDefault="00D51652" w:rsidP="00D51652">
            <w:pPr>
              <w:rPr>
                <w:i/>
                <w:iCs/>
              </w:rPr>
            </w:pPr>
            <w:r w:rsidRPr="00D51652">
              <w:rPr>
                <w:i/>
                <w:iCs/>
              </w:rPr>
              <w:t>-0.0152</w:t>
            </w:r>
          </w:p>
        </w:tc>
      </w:tr>
      <w:tr w:rsidR="00D51652" w:rsidRPr="00D51652" w14:paraId="19AFBD7C" w14:textId="77777777" w:rsidTr="006B5243">
        <w:trPr>
          <w:trHeight w:hRule="exact" w:val="567"/>
          <w:tblCellSpacing w:w="15" w:type="dxa"/>
        </w:trPr>
        <w:tc>
          <w:tcPr>
            <w:tcW w:w="0" w:type="auto"/>
            <w:vAlign w:val="center"/>
            <w:hideMark/>
          </w:tcPr>
          <w:p w14:paraId="47279ADE" w14:textId="77777777" w:rsidR="00D51652" w:rsidRPr="00D51652" w:rsidRDefault="00D51652" w:rsidP="00D51652">
            <w:pPr>
              <w:rPr>
                <w:i/>
                <w:iCs/>
              </w:rPr>
            </w:pPr>
            <w:r w:rsidRPr="00D51652">
              <w:rPr>
                <w:i/>
                <w:iCs/>
              </w:rPr>
              <w:t>IER Score</w:t>
            </w:r>
          </w:p>
        </w:tc>
        <w:tc>
          <w:tcPr>
            <w:tcW w:w="0" w:type="auto"/>
            <w:vAlign w:val="center"/>
            <w:hideMark/>
          </w:tcPr>
          <w:p w14:paraId="556D240B" w14:textId="77777777" w:rsidR="00D51652" w:rsidRPr="00D51652" w:rsidRDefault="00D51652" w:rsidP="00D51652">
            <w:pPr>
              <w:rPr>
                <w:i/>
                <w:iCs/>
              </w:rPr>
            </w:pPr>
            <w:r w:rsidRPr="00D51652">
              <w:rPr>
                <w:i/>
                <w:iCs/>
              </w:rPr>
              <w:t>0.0081</w:t>
            </w:r>
          </w:p>
        </w:tc>
        <w:tc>
          <w:tcPr>
            <w:tcW w:w="0" w:type="auto"/>
            <w:vAlign w:val="center"/>
            <w:hideMark/>
          </w:tcPr>
          <w:p w14:paraId="570C9B54" w14:textId="77777777" w:rsidR="00D51652" w:rsidRPr="00D51652" w:rsidRDefault="00D51652" w:rsidP="00D51652">
            <w:pPr>
              <w:rPr>
                <w:i/>
                <w:iCs/>
              </w:rPr>
            </w:pPr>
            <w:r w:rsidRPr="00D51652">
              <w:rPr>
                <w:i/>
                <w:iCs/>
              </w:rPr>
              <w:t>0.0084</w:t>
            </w:r>
          </w:p>
        </w:tc>
      </w:tr>
      <w:tr w:rsidR="00D51652" w:rsidRPr="00D51652" w14:paraId="49F81CC4" w14:textId="77777777" w:rsidTr="006B5243">
        <w:trPr>
          <w:trHeight w:hRule="exact" w:val="567"/>
          <w:tblCellSpacing w:w="15" w:type="dxa"/>
        </w:trPr>
        <w:tc>
          <w:tcPr>
            <w:tcW w:w="0" w:type="auto"/>
            <w:vAlign w:val="center"/>
            <w:hideMark/>
          </w:tcPr>
          <w:p w14:paraId="0604FAF8" w14:textId="77777777" w:rsidR="00D51652" w:rsidRPr="00D51652" w:rsidRDefault="00D51652" w:rsidP="00D51652">
            <w:pPr>
              <w:rPr>
                <w:i/>
                <w:iCs/>
              </w:rPr>
            </w:pPr>
            <w:r w:rsidRPr="00D51652">
              <w:rPr>
                <w:i/>
                <w:iCs/>
              </w:rPr>
              <w:t>IEO Score</w:t>
            </w:r>
          </w:p>
        </w:tc>
        <w:tc>
          <w:tcPr>
            <w:tcW w:w="0" w:type="auto"/>
            <w:vAlign w:val="center"/>
            <w:hideMark/>
          </w:tcPr>
          <w:p w14:paraId="081CA30F" w14:textId="77777777" w:rsidR="00D51652" w:rsidRPr="00D51652" w:rsidRDefault="00D51652" w:rsidP="00D51652">
            <w:pPr>
              <w:rPr>
                <w:i/>
                <w:iCs/>
              </w:rPr>
            </w:pPr>
            <w:r w:rsidRPr="00D51652">
              <w:rPr>
                <w:i/>
                <w:iCs/>
              </w:rPr>
              <w:t>0.0123</w:t>
            </w:r>
          </w:p>
        </w:tc>
        <w:tc>
          <w:tcPr>
            <w:tcW w:w="0" w:type="auto"/>
            <w:vAlign w:val="center"/>
            <w:hideMark/>
          </w:tcPr>
          <w:p w14:paraId="4DA83B4F" w14:textId="77777777" w:rsidR="00D51652" w:rsidRPr="00D51652" w:rsidRDefault="00D51652" w:rsidP="00D51652">
            <w:pPr>
              <w:rPr>
                <w:i/>
                <w:iCs/>
              </w:rPr>
            </w:pPr>
            <w:r w:rsidRPr="00D51652">
              <w:rPr>
                <w:i/>
                <w:iCs/>
              </w:rPr>
              <w:t>0.0138</w:t>
            </w:r>
          </w:p>
        </w:tc>
      </w:tr>
    </w:tbl>
    <w:p w14:paraId="23EBF0B2" w14:textId="5ADB7034" w:rsidR="00A00B57" w:rsidRPr="00D51652" w:rsidRDefault="00D51652" w:rsidP="00D51652">
      <w:pPr>
        <w:rPr>
          <w:i/>
          <w:iCs/>
        </w:rPr>
      </w:pPr>
      <w:r w:rsidRPr="00D51652">
        <w:rPr>
          <w:i/>
          <w:iCs/>
        </w:rPr>
        <w:t>All coefficients are statistically significant (p &lt; 0.001).</w:t>
      </w:r>
    </w:p>
    <w:p w14:paraId="62B6E445" w14:textId="56EC4B27" w:rsidR="00D51652" w:rsidRPr="00D51652" w:rsidRDefault="00D51652" w:rsidP="00D51652">
      <w:pPr>
        <w:rPr>
          <w:i/>
          <w:iCs/>
        </w:rPr>
      </w:pPr>
    </w:p>
    <w:p w14:paraId="1D6011CC" w14:textId="77777777" w:rsidR="00D51652" w:rsidRPr="00D51652" w:rsidRDefault="00D51652" w:rsidP="00850B85">
      <w:pPr>
        <w:pStyle w:val="Heading2"/>
      </w:pPr>
      <w:r w:rsidRPr="00D51652">
        <w:lastRenderedPageBreak/>
        <w:t>5. Visual Diagnostics</w:t>
      </w:r>
    </w:p>
    <w:p w14:paraId="099773B6" w14:textId="77777777" w:rsidR="00D51652" w:rsidRPr="00D51652" w:rsidRDefault="00D51652" w:rsidP="00D51652">
      <w:pPr>
        <w:rPr>
          <w:i/>
          <w:iCs/>
        </w:rPr>
      </w:pPr>
      <w:r w:rsidRPr="00D51652">
        <w:rPr>
          <w:i/>
          <w:iCs/>
        </w:rPr>
        <w:t>The scatter plots below illustrate the model fit for actual vs. predicted crime rates:</w:t>
      </w:r>
    </w:p>
    <w:p w14:paraId="123ED43A" w14:textId="2EDCBDCA" w:rsidR="00D51652" w:rsidRPr="00D51652" w:rsidRDefault="00702CB2" w:rsidP="00D51652">
      <w:pPr>
        <w:rPr>
          <w:i/>
          <w:iCs/>
        </w:rPr>
      </w:pPr>
      <w:r>
        <w:rPr>
          <w:i/>
          <w:iCs/>
          <w:noProof/>
        </w:rPr>
        <w:drawing>
          <wp:inline distT="0" distB="0" distL="0" distR="0" wp14:anchorId="6569CD2A" wp14:editId="033AFDF5">
            <wp:extent cx="6645910" cy="2835275"/>
            <wp:effectExtent l="0" t="0" r="2540" b="3175"/>
            <wp:docPr id="1982958096" name="Picture 2" descr="A diagram of a cr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58096" name="Picture 2" descr="A diagram of a crim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2835275"/>
                    </a:xfrm>
                    <a:prstGeom prst="rect">
                      <a:avLst/>
                    </a:prstGeom>
                  </pic:spPr>
                </pic:pic>
              </a:graphicData>
            </a:graphic>
          </wp:inline>
        </w:drawing>
      </w:r>
      <w:r w:rsidR="00D51652" w:rsidRPr="00D51652">
        <w:rPr>
          <w:i/>
          <w:iCs/>
        </w:rPr>
        <w:t xml:space="preserve"> </w:t>
      </w:r>
    </w:p>
    <w:p w14:paraId="0F607703" w14:textId="7A53974C" w:rsidR="00D51652" w:rsidRPr="00D51652" w:rsidRDefault="00D51652" w:rsidP="00D51652">
      <w:pPr>
        <w:rPr>
          <w:i/>
          <w:iCs/>
        </w:rPr>
      </w:pPr>
    </w:p>
    <w:p w14:paraId="02C25B93" w14:textId="77777777" w:rsidR="00D51652" w:rsidRDefault="00D51652" w:rsidP="00850B85">
      <w:pPr>
        <w:pStyle w:val="Heading2"/>
      </w:pPr>
      <w:r w:rsidRPr="00D51652">
        <w:t>6. Interpretation of Key Findings</w:t>
      </w:r>
    </w:p>
    <w:p w14:paraId="206BA569" w14:textId="4DB88D10" w:rsidR="00647228" w:rsidRPr="00647228" w:rsidRDefault="00647228" w:rsidP="00647228">
      <w:r w:rsidRPr="00647228">
        <w:t>Although the SEIFA indexes were statistically significant predictors, the overall strength of the relationships was moderate. This was evident in the spread of data points around the regression lines—while the general trend followed the model’s predictions, the points were not tightly clustered around the line. This indicates that, although socio-economic disadvantage plays a role, it is not the sole factor influencing crime rates, and there is substantial variability that may be explained by other variables not captured in this analysis.</w:t>
      </w:r>
    </w:p>
    <w:p w14:paraId="753FD3B1" w14:textId="77777777" w:rsidR="00D51652" w:rsidRPr="00D51652" w:rsidRDefault="00D51652" w:rsidP="00D51652">
      <w:pPr>
        <w:rPr>
          <w:b/>
          <w:bCs/>
          <w:i/>
          <w:iCs/>
        </w:rPr>
      </w:pPr>
      <w:r w:rsidRPr="00D51652">
        <w:rPr>
          <w:b/>
          <w:bCs/>
          <w:i/>
          <w:iCs/>
        </w:rPr>
        <w:t>6.1 IRSD Score (Disadvantage)</w:t>
      </w:r>
    </w:p>
    <w:p w14:paraId="2CA91D79" w14:textId="77777777" w:rsidR="00D51652" w:rsidRPr="00D51652" w:rsidRDefault="00D51652" w:rsidP="00D51652">
      <w:pPr>
        <w:numPr>
          <w:ilvl w:val="0"/>
          <w:numId w:val="5"/>
        </w:numPr>
        <w:rPr>
          <w:i/>
          <w:iCs/>
        </w:rPr>
      </w:pPr>
      <w:r w:rsidRPr="00D51652">
        <w:rPr>
          <w:i/>
          <w:iCs/>
        </w:rPr>
        <w:t xml:space="preserve">A </w:t>
      </w:r>
      <w:r w:rsidRPr="00D51652">
        <w:rPr>
          <w:b/>
          <w:bCs/>
          <w:i/>
          <w:iCs/>
        </w:rPr>
        <w:t>negative relationship</w:t>
      </w:r>
      <w:r w:rsidRPr="00D51652">
        <w:rPr>
          <w:i/>
          <w:iCs/>
        </w:rPr>
        <w:t xml:space="preserve"> was found: areas with higher disadvantage (lower IRSD scores) tend to have higher crime rates.</w:t>
      </w:r>
    </w:p>
    <w:p w14:paraId="6EDC7236" w14:textId="77777777" w:rsidR="00D51652" w:rsidRPr="00D51652" w:rsidRDefault="00D51652" w:rsidP="00D51652">
      <w:pPr>
        <w:numPr>
          <w:ilvl w:val="0"/>
          <w:numId w:val="5"/>
        </w:numPr>
        <w:rPr>
          <w:i/>
          <w:iCs/>
        </w:rPr>
      </w:pPr>
      <w:r w:rsidRPr="00D51652">
        <w:rPr>
          <w:i/>
          <w:iCs/>
        </w:rPr>
        <w:t>This aligns with expectations, as disadvantaged areas may have weaker social cohesion or fewer resources for crime prevention.</w:t>
      </w:r>
    </w:p>
    <w:p w14:paraId="1A1677DB" w14:textId="77777777" w:rsidR="00D51652" w:rsidRPr="00D51652" w:rsidRDefault="00D51652" w:rsidP="00D51652">
      <w:pPr>
        <w:rPr>
          <w:b/>
          <w:bCs/>
          <w:i/>
          <w:iCs/>
        </w:rPr>
      </w:pPr>
      <w:r w:rsidRPr="00D51652">
        <w:rPr>
          <w:b/>
          <w:bCs/>
          <w:i/>
          <w:iCs/>
        </w:rPr>
        <w:t>6.2 IER &amp; IEO Scores (Education, Employment, Economic Opportunity)</w:t>
      </w:r>
    </w:p>
    <w:p w14:paraId="6B00D84F" w14:textId="77777777" w:rsidR="00D51652" w:rsidRPr="00D51652" w:rsidRDefault="00D51652" w:rsidP="00D51652">
      <w:pPr>
        <w:numPr>
          <w:ilvl w:val="0"/>
          <w:numId w:val="6"/>
        </w:numPr>
        <w:rPr>
          <w:i/>
          <w:iCs/>
        </w:rPr>
      </w:pPr>
      <w:r w:rsidRPr="00D51652">
        <w:rPr>
          <w:i/>
          <w:iCs/>
        </w:rPr>
        <w:t xml:space="preserve">A </w:t>
      </w:r>
      <w:r w:rsidRPr="00D51652">
        <w:rPr>
          <w:b/>
          <w:bCs/>
          <w:i/>
          <w:iCs/>
        </w:rPr>
        <w:t>positive relationship</w:t>
      </w:r>
      <w:r w:rsidRPr="00D51652">
        <w:rPr>
          <w:i/>
          <w:iCs/>
        </w:rPr>
        <w:t xml:space="preserve"> emerged: surprisingly, areas with better education, employment, and opportunity had </w:t>
      </w:r>
      <w:r w:rsidRPr="00D51652">
        <w:rPr>
          <w:b/>
          <w:bCs/>
          <w:i/>
          <w:iCs/>
        </w:rPr>
        <w:t>slightly higher</w:t>
      </w:r>
      <w:r w:rsidRPr="00D51652">
        <w:rPr>
          <w:i/>
          <w:iCs/>
        </w:rPr>
        <w:t xml:space="preserve"> crime rates.</w:t>
      </w:r>
    </w:p>
    <w:p w14:paraId="1A77410B" w14:textId="77777777" w:rsidR="00D51652" w:rsidRPr="00D51652" w:rsidRDefault="00D51652" w:rsidP="00D51652">
      <w:pPr>
        <w:numPr>
          <w:ilvl w:val="0"/>
          <w:numId w:val="6"/>
        </w:numPr>
        <w:rPr>
          <w:i/>
          <w:iCs/>
        </w:rPr>
      </w:pPr>
      <w:r w:rsidRPr="00D51652">
        <w:rPr>
          <w:i/>
          <w:iCs/>
        </w:rPr>
        <w:t>This may be due to:</w:t>
      </w:r>
    </w:p>
    <w:p w14:paraId="6C06FDAA" w14:textId="77777777" w:rsidR="00D51652" w:rsidRPr="00D51652" w:rsidRDefault="00D51652" w:rsidP="00D51652">
      <w:pPr>
        <w:numPr>
          <w:ilvl w:val="1"/>
          <w:numId w:val="6"/>
        </w:numPr>
        <w:rPr>
          <w:i/>
          <w:iCs/>
        </w:rPr>
      </w:pPr>
      <w:r w:rsidRPr="00D51652">
        <w:rPr>
          <w:i/>
          <w:iCs/>
        </w:rPr>
        <w:t>Higher population density in economically active areas</w:t>
      </w:r>
    </w:p>
    <w:p w14:paraId="633E4536" w14:textId="77777777" w:rsidR="00D51652" w:rsidRPr="00D51652" w:rsidRDefault="00D51652" w:rsidP="00D51652">
      <w:pPr>
        <w:numPr>
          <w:ilvl w:val="1"/>
          <w:numId w:val="6"/>
        </w:numPr>
        <w:rPr>
          <w:i/>
          <w:iCs/>
        </w:rPr>
      </w:pPr>
      <w:r w:rsidRPr="00D51652">
        <w:rPr>
          <w:i/>
          <w:iCs/>
        </w:rPr>
        <w:t>Better reporting and policing infrastructure</w:t>
      </w:r>
    </w:p>
    <w:p w14:paraId="66F21C87" w14:textId="578F24A5" w:rsidR="00D51652" w:rsidRPr="00D51652" w:rsidRDefault="00D51652" w:rsidP="00D51652">
      <w:pPr>
        <w:numPr>
          <w:ilvl w:val="1"/>
          <w:numId w:val="6"/>
        </w:numPr>
        <w:rPr>
          <w:i/>
          <w:iCs/>
        </w:rPr>
      </w:pPr>
      <w:r w:rsidRPr="00D51652">
        <w:rPr>
          <w:i/>
          <w:iCs/>
        </w:rPr>
        <w:t xml:space="preserve">Socio-economic inequality or micro pockets of disadvantage in otherwise advantaged </w:t>
      </w:r>
      <w:r w:rsidR="0099387B">
        <w:rPr>
          <w:i/>
          <w:iCs/>
        </w:rPr>
        <w:t>areas</w:t>
      </w:r>
    </w:p>
    <w:p w14:paraId="40DBE790" w14:textId="73E0257C" w:rsidR="00670245" w:rsidRPr="00A57D51" w:rsidRDefault="00670245" w:rsidP="00D51652">
      <w:pPr>
        <w:rPr>
          <w:i/>
          <w:iCs/>
        </w:rPr>
      </w:pPr>
    </w:p>
    <w:p w14:paraId="5BABCDB0" w14:textId="4E3420D2" w:rsidR="00D51652" w:rsidRPr="00D51652" w:rsidRDefault="00D51652" w:rsidP="004A085D">
      <w:pPr>
        <w:pStyle w:val="Heading2"/>
      </w:pPr>
      <w:r w:rsidRPr="00D51652">
        <w:t>7. Model Validity Checks</w:t>
      </w:r>
    </w:p>
    <w:p w14:paraId="68FEB685" w14:textId="77777777" w:rsidR="00D51652" w:rsidRPr="00D51652" w:rsidRDefault="00D51652" w:rsidP="00D51652">
      <w:pPr>
        <w:numPr>
          <w:ilvl w:val="0"/>
          <w:numId w:val="7"/>
        </w:numPr>
        <w:rPr>
          <w:i/>
          <w:iCs/>
        </w:rPr>
      </w:pPr>
      <w:r w:rsidRPr="00D51652">
        <w:rPr>
          <w:b/>
          <w:bCs/>
          <w:i/>
          <w:iCs/>
        </w:rPr>
        <w:t>Durbin-Watson statistic</w:t>
      </w:r>
      <w:r w:rsidRPr="00D51652">
        <w:rPr>
          <w:i/>
          <w:iCs/>
        </w:rPr>
        <w:t>: ~2.09 — indicates no significant autocorrelation</w:t>
      </w:r>
    </w:p>
    <w:p w14:paraId="0EAD0780" w14:textId="77777777" w:rsidR="00D51652" w:rsidRPr="00D51652" w:rsidRDefault="00D51652" w:rsidP="00D51652">
      <w:pPr>
        <w:numPr>
          <w:ilvl w:val="0"/>
          <w:numId w:val="7"/>
        </w:numPr>
        <w:rPr>
          <w:i/>
          <w:iCs/>
        </w:rPr>
      </w:pPr>
      <w:r w:rsidRPr="00D51652">
        <w:rPr>
          <w:b/>
          <w:bCs/>
          <w:i/>
          <w:iCs/>
        </w:rPr>
        <w:t>Omnibus &amp; Jarque-Bera tests</w:t>
      </w:r>
      <w:r w:rsidRPr="00D51652">
        <w:rPr>
          <w:i/>
          <w:iCs/>
        </w:rPr>
        <w:t>: suggest residuals are approximately normally distributed</w:t>
      </w:r>
    </w:p>
    <w:p w14:paraId="31BEDBA0" w14:textId="20804958" w:rsidR="00D51652" w:rsidRPr="00D51652" w:rsidRDefault="00D51652" w:rsidP="00D51652">
      <w:pPr>
        <w:rPr>
          <w:i/>
          <w:iCs/>
        </w:rPr>
      </w:pPr>
      <w:r w:rsidRPr="00D51652">
        <w:rPr>
          <w:i/>
          <w:iCs/>
        </w:rPr>
        <w:t>These diagnostics confirm that the assumptions of linear regression are sufficiently met.</w:t>
      </w:r>
    </w:p>
    <w:p w14:paraId="01FC649E" w14:textId="234B8772" w:rsidR="00D51652" w:rsidRPr="00D51652" w:rsidRDefault="00D51652" w:rsidP="004A085D">
      <w:pPr>
        <w:pStyle w:val="Heading2"/>
      </w:pPr>
      <w:r w:rsidRPr="00D51652">
        <w:lastRenderedPageBreak/>
        <w:t>8. Conclusion</w:t>
      </w:r>
    </w:p>
    <w:p w14:paraId="4A5BCE3C" w14:textId="77777777" w:rsidR="00B3598D" w:rsidRPr="00B3598D" w:rsidRDefault="00B3598D" w:rsidP="00B3598D">
      <w:pPr>
        <w:rPr>
          <w:i/>
          <w:iCs/>
        </w:rPr>
      </w:pPr>
      <w:r w:rsidRPr="00B3598D">
        <w:rPr>
          <w:i/>
          <w:iCs/>
        </w:rPr>
        <w:t xml:space="preserve">This analysis reveals a complex yet statistically significant relationship between socio-economic factors and </w:t>
      </w:r>
      <w:r w:rsidRPr="00B3598D">
        <w:rPr>
          <w:b/>
          <w:bCs/>
          <w:i/>
          <w:iCs/>
        </w:rPr>
        <w:t>violent and interpersonal crime patterns</w:t>
      </w:r>
      <w:r w:rsidRPr="00B3598D">
        <w:rPr>
          <w:i/>
          <w:iCs/>
        </w:rPr>
        <w:t xml:space="preserve"> across Queensland. The SEIFA indexes used—IRSD (Index of Relative Socio-economic Disadvantage), IER (Index of Education and Employment), and IEO (Index of Economic Opportunity)—were all found to be significant predictors of both domestic violence-related and violent crime rates.</w:t>
      </w:r>
    </w:p>
    <w:p w14:paraId="3F03A026" w14:textId="77777777" w:rsidR="00B3598D" w:rsidRPr="00B3598D" w:rsidRDefault="00B3598D" w:rsidP="00B3598D">
      <w:pPr>
        <w:rPr>
          <w:i/>
          <w:iCs/>
        </w:rPr>
      </w:pPr>
      <w:r w:rsidRPr="00B3598D">
        <w:rPr>
          <w:i/>
          <w:iCs/>
        </w:rPr>
        <w:t>As expected, areas with higher levels of disadvantage (lower IRSD scores) tended to have higher crime rates, while crime rates decreased as IRSD scores increased. However, unexpectedly, crime rates showed a slight upward trend as IER and IEO scores increased—that is, areas with higher levels of education, employment, and economic opportunity exhibited somewhat slightly higher crime rates than those with lower scores. While the pattern was not strongly concentrated, the overall direction of the relationship was positive, suggesting a more complex social dynamic behind these forms of crime. This counterintuitive pattern may reflect underlying structural dynamics, such as differences in reporting behaviour, service availability, or population density, rather than a direct causal relationship.</w:t>
      </w:r>
    </w:p>
    <w:p w14:paraId="032BFB6D" w14:textId="77777777" w:rsidR="00B3598D" w:rsidRDefault="00B3598D" w:rsidP="00B3598D">
      <w:pPr>
        <w:rPr>
          <w:i/>
          <w:iCs/>
        </w:rPr>
      </w:pPr>
      <w:r w:rsidRPr="00B3598D">
        <w:rPr>
          <w:i/>
          <w:iCs/>
        </w:rPr>
        <w:t xml:space="preserve">It is important to note that this analysis focused exclusively on </w:t>
      </w:r>
      <w:r w:rsidRPr="00B3598D">
        <w:rPr>
          <w:b/>
          <w:bCs/>
          <w:i/>
          <w:iCs/>
        </w:rPr>
        <w:t>violent and domestic violence-related offences</w:t>
      </w:r>
      <w:r w:rsidRPr="00B3598D">
        <w:rPr>
          <w:i/>
          <w:iCs/>
        </w:rPr>
        <w:t xml:space="preserve">, deliberately excluding property, drug, and other crimes to isolate community-level social dynamics from economic or substance-related factors. </w:t>
      </w:r>
    </w:p>
    <w:p w14:paraId="0923AF2B" w14:textId="04210E3D" w:rsidR="00B3598D" w:rsidRPr="00B3598D" w:rsidRDefault="00B3598D" w:rsidP="00B3598D">
      <w:pPr>
        <w:rPr>
          <w:i/>
          <w:iCs/>
        </w:rPr>
      </w:pPr>
      <w:r w:rsidRPr="00B3598D">
        <w:rPr>
          <w:i/>
          <w:iCs/>
        </w:rPr>
        <w:t>The model’s statistical significance and reasonable fit demonstrate that SEIFA indexes can serve as meaningful predictors in understanding these specific types of crime at a community level. While this report is not exhaustive or definitive, it offers insights that may contribute to more targeted discussions around social policy, support services, and crime prevention strategies.</w:t>
      </w:r>
    </w:p>
    <w:p w14:paraId="611F877A" w14:textId="77777777" w:rsidR="00CA1710" w:rsidRDefault="00CA1710" w:rsidP="00D51652">
      <w:pPr>
        <w:rPr>
          <w:i/>
          <w:iCs/>
        </w:rPr>
      </w:pPr>
    </w:p>
    <w:p w14:paraId="392DEA6F" w14:textId="77777777" w:rsidR="00CA1710" w:rsidRPr="00CA1710" w:rsidRDefault="00CA1710" w:rsidP="00CA1710">
      <w:pPr>
        <w:rPr>
          <w:b/>
          <w:bCs/>
          <w:i/>
          <w:iCs/>
        </w:rPr>
      </w:pPr>
      <w:r w:rsidRPr="00CA1710">
        <w:rPr>
          <w:b/>
          <w:bCs/>
          <w:i/>
          <w:iCs/>
        </w:rPr>
        <w:t>Data Sources</w:t>
      </w:r>
    </w:p>
    <w:p w14:paraId="31876570" w14:textId="77777777" w:rsidR="00CA1710" w:rsidRPr="00CA1710" w:rsidRDefault="00CA1710" w:rsidP="00CA1710">
      <w:pPr>
        <w:numPr>
          <w:ilvl w:val="0"/>
          <w:numId w:val="8"/>
        </w:numPr>
        <w:rPr>
          <w:i/>
          <w:iCs/>
        </w:rPr>
      </w:pPr>
      <w:r w:rsidRPr="00CA1710">
        <w:rPr>
          <w:b/>
          <w:bCs/>
          <w:i/>
          <w:iCs/>
        </w:rPr>
        <w:t>SEIFA Indexes (2021)</w:t>
      </w:r>
      <w:r w:rsidRPr="00CA1710">
        <w:rPr>
          <w:i/>
          <w:iCs/>
        </w:rPr>
        <w:br/>
        <w:t>Australian Bureau of Statistics</w:t>
      </w:r>
      <w:r w:rsidRPr="00CA1710">
        <w:rPr>
          <w:i/>
          <w:iCs/>
        </w:rPr>
        <w:br/>
      </w:r>
      <w:hyperlink r:id="rId7" w:anchor="data-downloads" w:tgtFrame="_new" w:history="1">
        <w:r w:rsidRPr="00CA1710">
          <w:rPr>
            <w:rStyle w:val="Hyperlink"/>
            <w:i/>
            <w:iCs/>
          </w:rPr>
          <w:t>https://www.abs.gov.au/statistics/people/people-and-communities/socio-economic-indexes-areas-seifa-australia/latest-release#data-downloads</w:t>
        </w:r>
      </w:hyperlink>
    </w:p>
    <w:p w14:paraId="324B4D9C" w14:textId="77777777" w:rsidR="00CA1710" w:rsidRPr="00CA1710" w:rsidRDefault="00CA1710" w:rsidP="00CA1710">
      <w:pPr>
        <w:numPr>
          <w:ilvl w:val="0"/>
          <w:numId w:val="8"/>
        </w:numPr>
        <w:rPr>
          <w:i/>
          <w:iCs/>
        </w:rPr>
      </w:pPr>
      <w:r w:rsidRPr="00CA1710">
        <w:rPr>
          <w:b/>
          <w:bCs/>
          <w:i/>
          <w:iCs/>
        </w:rPr>
        <w:t>Crime Data by Police Division (2018–Latest)</w:t>
      </w:r>
      <w:r w:rsidRPr="00CA1710">
        <w:rPr>
          <w:i/>
          <w:iCs/>
        </w:rPr>
        <w:br/>
        <w:t>Queensland Government Open Data Portal</w:t>
      </w:r>
      <w:r w:rsidRPr="00CA1710">
        <w:rPr>
          <w:i/>
          <w:iCs/>
        </w:rPr>
        <w:br/>
      </w:r>
      <w:hyperlink r:id="rId8" w:tgtFrame="_new" w:history="1">
        <w:r w:rsidRPr="00CA1710">
          <w:rPr>
            <w:rStyle w:val="Hyperlink"/>
            <w:i/>
            <w:iCs/>
          </w:rPr>
          <w:t>https://www.data.qld.gov.au/dataset/offence-numbers-police-divisions-monthly-from-july-2001</w:t>
        </w:r>
      </w:hyperlink>
    </w:p>
    <w:p w14:paraId="0DED1DEF" w14:textId="73F12368" w:rsidR="00CA1710" w:rsidRDefault="00CA1710" w:rsidP="00CA1710">
      <w:pPr>
        <w:numPr>
          <w:ilvl w:val="0"/>
          <w:numId w:val="8"/>
        </w:numPr>
        <w:rPr>
          <w:i/>
          <w:iCs/>
          <w:lang w:val="pt-BR"/>
        </w:rPr>
      </w:pPr>
      <w:r w:rsidRPr="00E87019">
        <w:rPr>
          <w:b/>
          <w:bCs/>
          <w:i/>
          <w:iCs/>
          <w:lang w:val="pt-BR"/>
        </w:rPr>
        <w:t>Code Repository</w:t>
      </w:r>
      <w:r w:rsidRPr="00E87019">
        <w:rPr>
          <w:i/>
          <w:iCs/>
          <w:lang w:val="pt-BR"/>
        </w:rPr>
        <w:br/>
        <w:t xml:space="preserve">GitHub – </w:t>
      </w:r>
      <w:r w:rsidR="00E87019" w:rsidRPr="00E87019">
        <w:rPr>
          <w:i/>
          <w:iCs/>
        </w:rPr>
        <w:t>SEIFA &amp; Crime Rate Analysis (Queensland)</w:t>
      </w:r>
      <w:r w:rsidRPr="00E87019">
        <w:rPr>
          <w:i/>
          <w:iCs/>
          <w:lang w:val="pt-BR"/>
        </w:rPr>
        <w:br/>
      </w:r>
      <w:hyperlink r:id="rId9" w:history="1">
        <w:r w:rsidR="00E87019" w:rsidRPr="007964DB">
          <w:rPr>
            <w:rStyle w:val="Hyperlink"/>
            <w:i/>
            <w:iCs/>
            <w:lang w:val="pt-BR"/>
          </w:rPr>
          <w:t>https://github.com/davimeloni/qld-seifa-crime-analysis.git</w:t>
        </w:r>
      </w:hyperlink>
    </w:p>
    <w:p w14:paraId="79B335D1" w14:textId="77777777" w:rsidR="00E87019" w:rsidRPr="00E87019" w:rsidRDefault="00E87019" w:rsidP="00E87019">
      <w:pPr>
        <w:ind w:left="720"/>
        <w:rPr>
          <w:i/>
          <w:iCs/>
          <w:lang w:val="pt-BR"/>
        </w:rPr>
      </w:pPr>
    </w:p>
    <w:p w14:paraId="1EAA7898" w14:textId="77777777" w:rsidR="00CA1710" w:rsidRPr="00E87019" w:rsidRDefault="00CA1710" w:rsidP="00D51652">
      <w:pPr>
        <w:rPr>
          <w:i/>
          <w:iCs/>
          <w:lang w:val="pt-BR"/>
        </w:rPr>
      </w:pPr>
    </w:p>
    <w:p w14:paraId="734F236F" w14:textId="77777777" w:rsidR="00403D64" w:rsidRPr="00E87019" w:rsidRDefault="00403D64">
      <w:pPr>
        <w:rPr>
          <w:lang w:val="pt-BR"/>
        </w:rPr>
      </w:pPr>
    </w:p>
    <w:sectPr w:rsidR="00403D64" w:rsidRPr="00E87019" w:rsidSect="00850B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C0267"/>
    <w:multiLevelType w:val="multilevel"/>
    <w:tmpl w:val="B184A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367E5"/>
    <w:multiLevelType w:val="multilevel"/>
    <w:tmpl w:val="3640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541DB"/>
    <w:multiLevelType w:val="multilevel"/>
    <w:tmpl w:val="6846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45A85"/>
    <w:multiLevelType w:val="multilevel"/>
    <w:tmpl w:val="B95C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76EF0"/>
    <w:multiLevelType w:val="multilevel"/>
    <w:tmpl w:val="9014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D0015"/>
    <w:multiLevelType w:val="multilevel"/>
    <w:tmpl w:val="A432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E01F9"/>
    <w:multiLevelType w:val="multilevel"/>
    <w:tmpl w:val="92C86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A6887"/>
    <w:multiLevelType w:val="multilevel"/>
    <w:tmpl w:val="B934A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B15E57"/>
    <w:multiLevelType w:val="multilevel"/>
    <w:tmpl w:val="CE46E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5552949">
    <w:abstractNumId w:val="8"/>
  </w:num>
  <w:num w:numId="2" w16cid:durableId="104080790">
    <w:abstractNumId w:val="0"/>
  </w:num>
  <w:num w:numId="3" w16cid:durableId="878054046">
    <w:abstractNumId w:val="3"/>
  </w:num>
  <w:num w:numId="4" w16cid:durableId="1600870583">
    <w:abstractNumId w:val="7"/>
  </w:num>
  <w:num w:numId="5" w16cid:durableId="309868516">
    <w:abstractNumId w:val="5"/>
  </w:num>
  <w:num w:numId="6" w16cid:durableId="1219591690">
    <w:abstractNumId w:val="6"/>
  </w:num>
  <w:num w:numId="7" w16cid:durableId="916401094">
    <w:abstractNumId w:val="1"/>
  </w:num>
  <w:num w:numId="8" w16cid:durableId="828643529">
    <w:abstractNumId w:val="4"/>
  </w:num>
  <w:num w:numId="9" w16cid:durableId="1083992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B6A"/>
    <w:rsid w:val="000265CE"/>
    <w:rsid w:val="000C33AF"/>
    <w:rsid w:val="00111724"/>
    <w:rsid w:val="00116EF2"/>
    <w:rsid w:val="0012484A"/>
    <w:rsid w:val="0016201C"/>
    <w:rsid w:val="00170746"/>
    <w:rsid w:val="001960EF"/>
    <w:rsid w:val="003C67EE"/>
    <w:rsid w:val="004036C5"/>
    <w:rsid w:val="00403D64"/>
    <w:rsid w:val="004A085D"/>
    <w:rsid w:val="004E1941"/>
    <w:rsid w:val="005B30F4"/>
    <w:rsid w:val="00647228"/>
    <w:rsid w:val="00670245"/>
    <w:rsid w:val="006B5243"/>
    <w:rsid w:val="00702CB2"/>
    <w:rsid w:val="00754A79"/>
    <w:rsid w:val="008079B6"/>
    <w:rsid w:val="0081219E"/>
    <w:rsid w:val="008460DC"/>
    <w:rsid w:val="00850B85"/>
    <w:rsid w:val="008A4C83"/>
    <w:rsid w:val="008F1273"/>
    <w:rsid w:val="00967FD6"/>
    <w:rsid w:val="00974C8F"/>
    <w:rsid w:val="0099387B"/>
    <w:rsid w:val="009D5F99"/>
    <w:rsid w:val="00A00B57"/>
    <w:rsid w:val="00A17901"/>
    <w:rsid w:val="00A57D51"/>
    <w:rsid w:val="00B3598D"/>
    <w:rsid w:val="00B848F3"/>
    <w:rsid w:val="00C632C5"/>
    <w:rsid w:val="00C76479"/>
    <w:rsid w:val="00C76E71"/>
    <w:rsid w:val="00CA1710"/>
    <w:rsid w:val="00D3575F"/>
    <w:rsid w:val="00D51652"/>
    <w:rsid w:val="00DD52DE"/>
    <w:rsid w:val="00E308F3"/>
    <w:rsid w:val="00E45782"/>
    <w:rsid w:val="00E77D14"/>
    <w:rsid w:val="00E87019"/>
    <w:rsid w:val="00E93B6A"/>
    <w:rsid w:val="00F54790"/>
    <w:rsid w:val="00F87A6C"/>
    <w:rsid w:val="00FA06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3111"/>
  <w15:chartTrackingRefBased/>
  <w15:docId w15:val="{7147F5B4-89A8-47BC-A222-A786C51E3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3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3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B6A"/>
    <w:rPr>
      <w:rFonts w:eastAsiaTheme="majorEastAsia" w:cstheme="majorBidi"/>
      <w:color w:val="272727" w:themeColor="text1" w:themeTint="D8"/>
    </w:rPr>
  </w:style>
  <w:style w:type="paragraph" w:styleId="Title">
    <w:name w:val="Title"/>
    <w:basedOn w:val="Normal"/>
    <w:next w:val="Normal"/>
    <w:link w:val="TitleChar"/>
    <w:uiPriority w:val="10"/>
    <w:qFormat/>
    <w:rsid w:val="00E93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B6A"/>
    <w:pPr>
      <w:spacing w:before="160"/>
      <w:jc w:val="center"/>
    </w:pPr>
    <w:rPr>
      <w:i/>
      <w:iCs/>
      <w:color w:val="404040" w:themeColor="text1" w:themeTint="BF"/>
    </w:rPr>
  </w:style>
  <w:style w:type="character" w:customStyle="1" w:styleId="QuoteChar">
    <w:name w:val="Quote Char"/>
    <w:basedOn w:val="DefaultParagraphFont"/>
    <w:link w:val="Quote"/>
    <w:uiPriority w:val="29"/>
    <w:rsid w:val="00E93B6A"/>
    <w:rPr>
      <w:i/>
      <w:iCs/>
      <w:color w:val="404040" w:themeColor="text1" w:themeTint="BF"/>
    </w:rPr>
  </w:style>
  <w:style w:type="paragraph" w:styleId="ListParagraph">
    <w:name w:val="List Paragraph"/>
    <w:basedOn w:val="Normal"/>
    <w:uiPriority w:val="34"/>
    <w:qFormat/>
    <w:rsid w:val="00E93B6A"/>
    <w:pPr>
      <w:ind w:left="720"/>
      <w:contextualSpacing/>
    </w:pPr>
  </w:style>
  <w:style w:type="character" w:styleId="IntenseEmphasis">
    <w:name w:val="Intense Emphasis"/>
    <w:basedOn w:val="DefaultParagraphFont"/>
    <w:uiPriority w:val="21"/>
    <w:qFormat/>
    <w:rsid w:val="00E93B6A"/>
    <w:rPr>
      <w:i/>
      <w:iCs/>
      <w:color w:val="0F4761" w:themeColor="accent1" w:themeShade="BF"/>
    </w:rPr>
  </w:style>
  <w:style w:type="paragraph" w:styleId="IntenseQuote">
    <w:name w:val="Intense Quote"/>
    <w:basedOn w:val="Normal"/>
    <w:next w:val="Normal"/>
    <w:link w:val="IntenseQuoteChar"/>
    <w:uiPriority w:val="30"/>
    <w:qFormat/>
    <w:rsid w:val="00E93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B6A"/>
    <w:rPr>
      <w:i/>
      <w:iCs/>
      <w:color w:val="0F4761" w:themeColor="accent1" w:themeShade="BF"/>
    </w:rPr>
  </w:style>
  <w:style w:type="character" w:styleId="IntenseReference">
    <w:name w:val="Intense Reference"/>
    <w:basedOn w:val="DefaultParagraphFont"/>
    <w:uiPriority w:val="32"/>
    <w:qFormat/>
    <w:rsid w:val="00E93B6A"/>
    <w:rPr>
      <w:b/>
      <w:bCs/>
      <w:smallCaps/>
      <w:color w:val="0F4761" w:themeColor="accent1" w:themeShade="BF"/>
      <w:spacing w:val="5"/>
    </w:rPr>
  </w:style>
  <w:style w:type="character" w:styleId="Hyperlink">
    <w:name w:val="Hyperlink"/>
    <w:basedOn w:val="DefaultParagraphFont"/>
    <w:uiPriority w:val="99"/>
    <w:unhideWhenUsed/>
    <w:rsid w:val="00CA1710"/>
    <w:rPr>
      <w:color w:val="467886" w:themeColor="hyperlink"/>
      <w:u w:val="single"/>
    </w:rPr>
  </w:style>
  <w:style w:type="character" w:styleId="UnresolvedMention">
    <w:name w:val="Unresolved Mention"/>
    <w:basedOn w:val="DefaultParagraphFont"/>
    <w:uiPriority w:val="99"/>
    <w:semiHidden/>
    <w:unhideWhenUsed/>
    <w:rsid w:val="00CA1710"/>
    <w:rPr>
      <w:color w:val="605E5C"/>
      <w:shd w:val="clear" w:color="auto" w:fill="E1DFDD"/>
    </w:rPr>
  </w:style>
  <w:style w:type="character" w:styleId="SubtleEmphasis">
    <w:name w:val="Subtle Emphasis"/>
    <w:basedOn w:val="DefaultParagraphFont"/>
    <w:uiPriority w:val="19"/>
    <w:qFormat/>
    <w:rsid w:val="0067024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333579">
      <w:bodyDiv w:val="1"/>
      <w:marLeft w:val="0"/>
      <w:marRight w:val="0"/>
      <w:marTop w:val="0"/>
      <w:marBottom w:val="0"/>
      <w:divBdr>
        <w:top w:val="none" w:sz="0" w:space="0" w:color="auto"/>
        <w:left w:val="none" w:sz="0" w:space="0" w:color="auto"/>
        <w:bottom w:val="none" w:sz="0" w:space="0" w:color="auto"/>
        <w:right w:val="none" w:sz="0" w:space="0" w:color="auto"/>
      </w:divBdr>
    </w:div>
    <w:div w:id="466360876">
      <w:bodyDiv w:val="1"/>
      <w:marLeft w:val="0"/>
      <w:marRight w:val="0"/>
      <w:marTop w:val="0"/>
      <w:marBottom w:val="0"/>
      <w:divBdr>
        <w:top w:val="none" w:sz="0" w:space="0" w:color="auto"/>
        <w:left w:val="none" w:sz="0" w:space="0" w:color="auto"/>
        <w:bottom w:val="none" w:sz="0" w:space="0" w:color="auto"/>
        <w:right w:val="none" w:sz="0" w:space="0" w:color="auto"/>
      </w:divBdr>
    </w:div>
    <w:div w:id="655034218">
      <w:bodyDiv w:val="1"/>
      <w:marLeft w:val="0"/>
      <w:marRight w:val="0"/>
      <w:marTop w:val="0"/>
      <w:marBottom w:val="0"/>
      <w:divBdr>
        <w:top w:val="none" w:sz="0" w:space="0" w:color="auto"/>
        <w:left w:val="none" w:sz="0" w:space="0" w:color="auto"/>
        <w:bottom w:val="none" w:sz="0" w:space="0" w:color="auto"/>
        <w:right w:val="none" w:sz="0" w:space="0" w:color="auto"/>
      </w:divBdr>
    </w:div>
    <w:div w:id="745806875">
      <w:bodyDiv w:val="1"/>
      <w:marLeft w:val="0"/>
      <w:marRight w:val="0"/>
      <w:marTop w:val="0"/>
      <w:marBottom w:val="0"/>
      <w:divBdr>
        <w:top w:val="none" w:sz="0" w:space="0" w:color="auto"/>
        <w:left w:val="none" w:sz="0" w:space="0" w:color="auto"/>
        <w:bottom w:val="none" w:sz="0" w:space="0" w:color="auto"/>
        <w:right w:val="none" w:sz="0" w:space="0" w:color="auto"/>
      </w:divBdr>
    </w:div>
    <w:div w:id="777334673">
      <w:bodyDiv w:val="1"/>
      <w:marLeft w:val="0"/>
      <w:marRight w:val="0"/>
      <w:marTop w:val="0"/>
      <w:marBottom w:val="0"/>
      <w:divBdr>
        <w:top w:val="none" w:sz="0" w:space="0" w:color="auto"/>
        <w:left w:val="none" w:sz="0" w:space="0" w:color="auto"/>
        <w:bottom w:val="none" w:sz="0" w:space="0" w:color="auto"/>
        <w:right w:val="none" w:sz="0" w:space="0" w:color="auto"/>
      </w:divBdr>
    </w:div>
    <w:div w:id="778722888">
      <w:bodyDiv w:val="1"/>
      <w:marLeft w:val="0"/>
      <w:marRight w:val="0"/>
      <w:marTop w:val="0"/>
      <w:marBottom w:val="0"/>
      <w:divBdr>
        <w:top w:val="none" w:sz="0" w:space="0" w:color="auto"/>
        <w:left w:val="none" w:sz="0" w:space="0" w:color="auto"/>
        <w:bottom w:val="none" w:sz="0" w:space="0" w:color="auto"/>
        <w:right w:val="none" w:sz="0" w:space="0" w:color="auto"/>
      </w:divBdr>
    </w:div>
    <w:div w:id="862092627">
      <w:bodyDiv w:val="1"/>
      <w:marLeft w:val="0"/>
      <w:marRight w:val="0"/>
      <w:marTop w:val="0"/>
      <w:marBottom w:val="0"/>
      <w:divBdr>
        <w:top w:val="none" w:sz="0" w:space="0" w:color="auto"/>
        <w:left w:val="none" w:sz="0" w:space="0" w:color="auto"/>
        <w:bottom w:val="none" w:sz="0" w:space="0" w:color="auto"/>
        <w:right w:val="none" w:sz="0" w:space="0" w:color="auto"/>
      </w:divBdr>
    </w:div>
    <w:div w:id="929436560">
      <w:bodyDiv w:val="1"/>
      <w:marLeft w:val="0"/>
      <w:marRight w:val="0"/>
      <w:marTop w:val="0"/>
      <w:marBottom w:val="0"/>
      <w:divBdr>
        <w:top w:val="none" w:sz="0" w:space="0" w:color="auto"/>
        <w:left w:val="none" w:sz="0" w:space="0" w:color="auto"/>
        <w:bottom w:val="none" w:sz="0" w:space="0" w:color="auto"/>
        <w:right w:val="none" w:sz="0" w:space="0" w:color="auto"/>
      </w:divBdr>
      <w:divsChild>
        <w:div w:id="1374693575">
          <w:marLeft w:val="0"/>
          <w:marRight w:val="0"/>
          <w:marTop w:val="0"/>
          <w:marBottom w:val="0"/>
          <w:divBdr>
            <w:top w:val="none" w:sz="0" w:space="0" w:color="auto"/>
            <w:left w:val="none" w:sz="0" w:space="0" w:color="auto"/>
            <w:bottom w:val="none" w:sz="0" w:space="0" w:color="auto"/>
            <w:right w:val="none" w:sz="0" w:space="0" w:color="auto"/>
          </w:divBdr>
          <w:divsChild>
            <w:div w:id="1899243134">
              <w:marLeft w:val="0"/>
              <w:marRight w:val="0"/>
              <w:marTop w:val="0"/>
              <w:marBottom w:val="0"/>
              <w:divBdr>
                <w:top w:val="none" w:sz="0" w:space="0" w:color="auto"/>
                <w:left w:val="none" w:sz="0" w:space="0" w:color="auto"/>
                <w:bottom w:val="none" w:sz="0" w:space="0" w:color="auto"/>
                <w:right w:val="none" w:sz="0" w:space="0" w:color="auto"/>
              </w:divBdr>
            </w:div>
          </w:divsChild>
        </w:div>
        <w:div w:id="796752502">
          <w:marLeft w:val="0"/>
          <w:marRight w:val="0"/>
          <w:marTop w:val="0"/>
          <w:marBottom w:val="0"/>
          <w:divBdr>
            <w:top w:val="none" w:sz="0" w:space="0" w:color="auto"/>
            <w:left w:val="none" w:sz="0" w:space="0" w:color="auto"/>
            <w:bottom w:val="none" w:sz="0" w:space="0" w:color="auto"/>
            <w:right w:val="none" w:sz="0" w:space="0" w:color="auto"/>
          </w:divBdr>
          <w:divsChild>
            <w:div w:id="1792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42142">
      <w:bodyDiv w:val="1"/>
      <w:marLeft w:val="0"/>
      <w:marRight w:val="0"/>
      <w:marTop w:val="0"/>
      <w:marBottom w:val="0"/>
      <w:divBdr>
        <w:top w:val="none" w:sz="0" w:space="0" w:color="auto"/>
        <w:left w:val="none" w:sz="0" w:space="0" w:color="auto"/>
        <w:bottom w:val="none" w:sz="0" w:space="0" w:color="auto"/>
        <w:right w:val="none" w:sz="0" w:space="0" w:color="auto"/>
      </w:divBdr>
    </w:div>
    <w:div w:id="1153520378">
      <w:bodyDiv w:val="1"/>
      <w:marLeft w:val="0"/>
      <w:marRight w:val="0"/>
      <w:marTop w:val="0"/>
      <w:marBottom w:val="0"/>
      <w:divBdr>
        <w:top w:val="none" w:sz="0" w:space="0" w:color="auto"/>
        <w:left w:val="none" w:sz="0" w:space="0" w:color="auto"/>
        <w:bottom w:val="none" w:sz="0" w:space="0" w:color="auto"/>
        <w:right w:val="none" w:sz="0" w:space="0" w:color="auto"/>
      </w:divBdr>
    </w:div>
    <w:div w:id="1216165862">
      <w:bodyDiv w:val="1"/>
      <w:marLeft w:val="0"/>
      <w:marRight w:val="0"/>
      <w:marTop w:val="0"/>
      <w:marBottom w:val="0"/>
      <w:divBdr>
        <w:top w:val="none" w:sz="0" w:space="0" w:color="auto"/>
        <w:left w:val="none" w:sz="0" w:space="0" w:color="auto"/>
        <w:bottom w:val="none" w:sz="0" w:space="0" w:color="auto"/>
        <w:right w:val="none" w:sz="0" w:space="0" w:color="auto"/>
      </w:divBdr>
    </w:div>
    <w:div w:id="1442644665">
      <w:bodyDiv w:val="1"/>
      <w:marLeft w:val="0"/>
      <w:marRight w:val="0"/>
      <w:marTop w:val="0"/>
      <w:marBottom w:val="0"/>
      <w:divBdr>
        <w:top w:val="none" w:sz="0" w:space="0" w:color="auto"/>
        <w:left w:val="none" w:sz="0" w:space="0" w:color="auto"/>
        <w:bottom w:val="none" w:sz="0" w:space="0" w:color="auto"/>
        <w:right w:val="none" w:sz="0" w:space="0" w:color="auto"/>
      </w:divBdr>
    </w:div>
    <w:div w:id="1522746255">
      <w:bodyDiv w:val="1"/>
      <w:marLeft w:val="0"/>
      <w:marRight w:val="0"/>
      <w:marTop w:val="0"/>
      <w:marBottom w:val="0"/>
      <w:divBdr>
        <w:top w:val="none" w:sz="0" w:space="0" w:color="auto"/>
        <w:left w:val="none" w:sz="0" w:space="0" w:color="auto"/>
        <w:bottom w:val="none" w:sz="0" w:space="0" w:color="auto"/>
        <w:right w:val="none" w:sz="0" w:space="0" w:color="auto"/>
      </w:divBdr>
    </w:div>
    <w:div w:id="1933540418">
      <w:bodyDiv w:val="1"/>
      <w:marLeft w:val="0"/>
      <w:marRight w:val="0"/>
      <w:marTop w:val="0"/>
      <w:marBottom w:val="0"/>
      <w:divBdr>
        <w:top w:val="none" w:sz="0" w:space="0" w:color="auto"/>
        <w:left w:val="none" w:sz="0" w:space="0" w:color="auto"/>
        <w:bottom w:val="none" w:sz="0" w:space="0" w:color="auto"/>
        <w:right w:val="none" w:sz="0" w:space="0" w:color="auto"/>
      </w:divBdr>
    </w:div>
    <w:div w:id="1986667699">
      <w:bodyDiv w:val="1"/>
      <w:marLeft w:val="0"/>
      <w:marRight w:val="0"/>
      <w:marTop w:val="0"/>
      <w:marBottom w:val="0"/>
      <w:divBdr>
        <w:top w:val="none" w:sz="0" w:space="0" w:color="auto"/>
        <w:left w:val="none" w:sz="0" w:space="0" w:color="auto"/>
        <w:bottom w:val="none" w:sz="0" w:space="0" w:color="auto"/>
        <w:right w:val="none" w:sz="0" w:space="0" w:color="auto"/>
      </w:divBdr>
    </w:div>
    <w:div w:id="2126850580">
      <w:bodyDiv w:val="1"/>
      <w:marLeft w:val="0"/>
      <w:marRight w:val="0"/>
      <w:marTop w:val="0"/>
      <w:marBottom w:val="0"/>
      <w:divBdr>
        <w:top w:val="none" w:sz="0" w:space="0" w:color="auto"/>
        <w:left w:val="none" w:sz="0" w:space="0" w:color="auto"/>
        <w:bottom w:val="none" w:sz="0" w:space="0" w:color="auto"/>
        <w:right w:val="none" w:sz="0" w:space="0" w:color="auto"/>
      </w:divBdr>
      <w:divsChild>
        <w:div w:id="130944426">
          <w:marLeft w:val="0"/>
          <w:marRight w:val="0"/>
          <w:marTop w:val="0"/>
          <w:marBottom w:val="0"/>
          <w:divBdr>
            <w:top w:val="none" w:sz="0" w:space="0" w:color="auto"/>
            <w:left w:val="none" w:sz="0" w:space="0" w:color="auto"/>
            <w:bottom w:val="none" w:sz="0" w:space="0" w:color="auto"/>
            <w:right w:val="none" w:sz="0" w:space="0" w:color="auto"/>
          </w:divBdr>
          <w:divsChild>
            <w:div w:id="19821726">
              <w:marLeft w:val="0"/>
              <w:marRight w:val="0"/>
              <w:marTop w:val="0"/>
              <w:marBottom w:val="0"/>
              <w:divBdr>
                <w:top w:val="none" w:sz="0" w:space="0" w:color="auto"/>
                <w:left w:val="none" w:sz="0" w:space="0" w:color="auto"/>
                <w:bottom w:val="none" w:sz="0" w:space="0" w:color="auto"/>
                <w:right w:val="none" w:sz="0" w:space="0" w:color="auto"/>
              </w:divBdr>
            </w:div>
          </w:divsChild>
        </w:div>
        <w:div w:id="859439716">
          <w:marLeft w:val="0"/>
          <w:marRight w:val="0"/>
          <w:marTop w:val="0"/>
          <w:marBottom w:val="0"/>
          <w:divBdr>
            <w:top w:val="none" w:sz="0" w:space="0" w:color="auto"/>
            <w:left w:val="none" w:sz="0" w:space="0" w:color="auto"/>
            <w:bottom w:val="none" w:sz="0" w:space="0" w:color="auto"/>
            <w:right w:val="none" w:sz="0" w:space="0" w:color="auto"/>
          </w:divBdr>
          <w:divsChild>
            <w:div w:id="5264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qld.gov.au/dataset/offence-numbers-police-divisions-monthly-from-july-2001" TargetMode="External"/><Relationship Id="rId3" Type="http://schemas.openxmlformats.org/officeDocument/2006/relationships/settings" Target="settings.xml"/><Relationship Id="rId7" Type="http://schemas.openxmlformats.org/officeDocument/2006/relationships/hyperlink" Target="https://www.abs.gov.au/statistics/people/people-and-communities/socio-economic-indexes-areas-seifa-australia/latest-rel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avimeloni/qld-seifa-crime-analysi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Meloni</dc:creator>
  <cp:keywords/>
  <dc:description/>
  <cp:lastModifiedBy>Davi</cp:lastModifiedBy>
  <cp:revision>166</cp:revision>
  <dcterms:created xsi:type="dcterms:W3CDTF">2025-04-21T01:29:00Z</dcterms:created>
  <dcterms:modified xsi:type="dcterms:W3CDTF">2025-04-21T11:19:00Z</dcterms:modified>
</cp:coreProperties>
</file>