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goe9xzxx0fid" w:id="0"/>
      <w:bookmarkEnd w:id="0"/>
      <w:r w:rsidDel="00000000" w:rsidR="00000000" w:rsidRPr="00000000">
        <w:rPr>
          <w:rFonts w:ascii="Google Sans" w:cs="Google Sans" w:eastAsia="Google Sans" w:hAnsi="Google Sans"/>
          <w:rtl w:val="0"/>
        </w:rPr>
        <w:t xml:space="preserve">Compliance checklist</w:t>
      </w:r>
    </w:p>
    <w:p w:rsidR="00000000" w:rsidDel="00000000" w:rsidP="00000000" w:rsidRDefault="00000000" w:rsidRPr="00000000" w14:paraId="00000002">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review compliance regulations and standards, read the </w:t>
      </w:r>
      <w:hyperlink r:id="rId6">
        <w:r w:rsidDel="00000000" w:rsidR="00000000" w:rsidRPr="00000000">
          <w:rPr>
            <w:rFonts w:ascii="Google Sans" w:cs="Google Sans" w:eastAsia="Google Sans" w:hAnsi="Google Sans"/>
            <w:color w:val="1155cc"/>
            <w:sz w:val="24"/>
            <w:szCs w:val="24"/>
            <w:u w:val="single"/>
            <w:rtl w:val="0"/>
          </w:rPr>
          <w:t xml:space="preserve">controls, frameworks, and compliance</w:t>
        </w:r>
      </w:hyperlink>
      <w:r w:rsidDel="00000000" w:rsidR="00000000" w:rsidRPr="00000000">
        <w:rPr>
          <w:rFonts w:ascii="Google Sans" w:cs="Google Sans" w:eastAsia="Google Sans" w:hAnsi="Google Sans"/>
          <w:sz w:val="24"/>
          <w:szCs w:val="24"/>
          <w:rtl w:val="0"/>
        </w:rPr>
        <w:t xml:space="preserve"> document.</w:t>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numPr>
          <w:ilvl w:val="0"/>
          <w:numId w:val="5"/>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Federal Energy Regulatory Commission - North American Electric Reliability Corporation (FERC-NERC)</w:t>
      </w:r>
    </w:p>
    <w:p w:rsidR="00000000" w:rsidDel="00000000" w:rsidP="00000000" w:rsidRDefault="00000000" w:rsidRPr="00000000" w14:paraId="00000005">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rsidR="00000000" w:rsidDel="00000000" w:rsidP="00000000" w:rsidRDefault="00000000" w:rsidRPr="00000000" w14:paraId="00000006">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w:t>
      </w:r>
      <w:r w:rsidDel="00000000" w:rsidR="00000000" w:rsidRPr="00000000">
        <w:rPr>
          <w:rFonts w:ascii="Google Sans" w:cs="Google Sans" w:eastAsia="Google Sans" w:hAnsi="Google Sans"/>
          <w:sz w:val="24"/>
          <w:szCs w:val="24"/>
          <w:rtl w:val="0"/>
        </w:rPr>
        <w:t xml:space="preserve"> NA</w:t>
      </w:r>
    </w:p>
    <w:p w:rsidR="00000000" w:rsidDel="00000000" w:rsidP="00000000" w:rsidRDefault="00000000" w:rsidRPr="00000000" w14:paraId="00000007">
      <w:pPr>
        <w:numPr>
          <w:ilvl w:val="0"/>
          <w:numId w:val="3"/>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General Data Protection Regulation (GDPR)</w:t>
      </w:r>
    </w:p>
    <w:p w:rsidR="00000000" w:rsidDel="00000000" w:rsidP="00000000" w:rsidRDefault="00000000" w:rsidRPr="00000000" w14:paraId="00000008">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000000" w:rsidDel="00000000" w:rsidP="00000000" w:rsidRDefault="00000000" w:rsidRPr="00000000" w14:paraId="00000009">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Providing ecommerce services in the E.U. means Botium Toys needs to be in compliance with this E.U. data regulation.</w:t>
      </w:r>
    </w:p>
    <w:p w:rsidR="00000000" w:rsidDel="00000000" w:rsidP="00000000" w:rsidRDefault="00000000" w:rsidRPr="00000000" w14:paraId="0000000A">
      <w:pPr>
        <w:numPr>
          <w:ilvl w:val="0"/>
          <w:numId w:val="2"/>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Payment Card Industry Data Security Standard (PCI DSS)</w:t>
      </w:r>
    </w:p>
    <w:p w:rsidR="00000000" w:rsidDel="00000000" w:rsidP="00000000" w:rsidRDefault="00000000" w:rsidRPr="00000000" w14:paraId="0000000B">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PCI DSS is an international security standard meant to ensure that organizations storing, accepting, processing, and transmitting credit card information do so in a secure environment. </w:t>
      </w:r>
    </w:p>
    <w:p w:rsidR="00000000" w:rsidDel="00000000" w:rsidP="00000000" w:rsidRDefault="00000000" w:rsidRPr="00000000" w14:paraId="0000000C">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Due Botium Toys handling credit card information, it needs to remain in compliance with this standard.</w:t>
      </w:r>
    </w:p>
    <w:p w:rsidR="00000000" w:rsidDel="00000000" w:rsidP="00000000" w:rsidRDefault="00000000" w:rsidRPr="00000000" w14:paraId="0000000D">
      <w:pPr>
        <w:numPr>
          <w:ilvl w:val="0"/>
          <w:numId w:val="1"/>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Health Insurance Portability and Accountability Act (HIPAA)</w:t>
      </w:r>
    </w:p>
    <w:p w:rsidR="00000000" w:rsidDel="00000000" w:rsidP="00000000" w:rsidRDefault="00000000" w:rsidRPr="00000000" w14:paraId="0000000E">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HIPAA is a federal law established in 1996 to protect U.S. patients’ health information. This law prohibits patient information from being shared without their consent. Organizations have a legal obligation to inform patients of a breach. </w:t>
      </w:r>
    </w:p>
    <w:p w:rsidR="00000000" w:rsidDel="00000000" w:rsidP="00000000" w:rsidRDefault="00000000" w:rsidRPr="00000000" w14:paraId="0000000F">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NA</w:t>
      </w:r>
    </w:p>
    <w:p w:rsidR="00000000" w:rsidDel="00000000" w:rsidP="00000000" w:rsidRDefault="00000000" w:rsidRPr="00000000" w14:paraId="00000010">
      <w:pPr>
        <w:numPr>
          <w:ilvl w:val="0"/>
          <w:numId w:val="4"/>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System and Organizations Controls (SOC type 1, SOC type 2)</w:t>
      </w:r>
    </w:p>
    <w:p w:rsidR="00000000" w:rsidDel="00000000" w:rsidP="00000000" w:rsidRDefault="00000000" w:rsidRPr="00000000" w14:paraId="00000011">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000000" w:rsidDel="00000000" w:rsidP="00000000" w:rsidRDefault="00000000" w:rsidRPr="00000000" w14:paraId="00000012">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enact better access control for third parties to mitigate risk, and better protect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of-cybersecurity/supplement/xu4pr/controls-frameworks-and-compli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