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eastAsia="微软雅黑"/>
          <w:b/>
          <w:color w:val="1A478A"/>
          <w:sz w:val="56"/>
        </w:rPr>
        <w:t>华为超融合 FusionCube</w:t>
      </w:r>
    </w:p>
    <w:p>
      <w:pPr>
        <w:jc w:val="center"/>
      </w:pPr>
      <w:r>
        <w:rPr>
          <w:rFonts w:ascii="微软雅黑" w:hAnsi="微软雅黑" w:eastAsia="微软雅黑"/>
          <w:color w:val="2B579A"/>
          <w:sz w:val="36"/>
        </w:rPr>
        <w:t>完整知识体系（售前版）</w:t>
      </w:r>
    </w:p>
    <w:p/>
    <w:p>
      <w:pPr>
        <w:jc w:val="center"/>
      </w:pPr>
      <w:r>
        <w:rPr>
          <w:rFonts w:ascii="微软雅黑" w:hAnsi="微软雅黑" w:eastAsia="微软雅黑"/>
          <w:color w:val="999999"/>
          <w:sz w:val="24"/>
        </w:rPr>
        <w:t>众云网  |  售前技术部  |  2026 年 6 月</w:t>
      </w:r>
    </w:p>
    <w:p>
      <w:r>
        <w:br w:type="page"/>
      </w:r>
    </w:p>
    <w:p>
      <w:pPr>
        <w:pStyle w:val="Heading1"/>
        <w:jc w:val="left"/>
      </w:pPr>
      <w:r>
        <w:rPr>
          <w:rFonts w:ascii="微软雅黑" w:hAnsi="微软雅黑" w:eastAsia="微软雅黑"/>
          <w:color w:val="1A478A"/>
          <w:sz w:val="36"/>
        </w:rPr>
        <w:t>目 录</w:t>
      </w:r>
    </w:p>
    <w:p>
      <w:r>
        <w:rPr>
          <w:rFonts w:ascii="微软雅黑" w:hAnsi="微软雅黑" w:eastAsia="微软雅黑"/>
          <w:sz w:val="24"/>
        </w:rPr>
        <w:t>模块 1：厂商速览</w:t>
      </w:r>
    </w:p>
    <w:p>
      <w:r>
        <w:rPr>
          <w:rFonts w:ascii="微软雅黑" w:hAnsi="微软雅黑" w:eastAsia="微软雅黑"/>
          <w:sz w:val="24"/>
        </w:rPr>
        <w:t>模块 2：产品定位</w:t>
      </w:r>
    </w:p>
    <w:p>
      <w:r>
        <w:rPr>
          <w:rFonts w:ascii="微软雅黑" w:hAnsi="微软雅黑" w:eastAsia="微软雅黑"/>
          <w:sz w:val="24"/>
        </w:rPr>
        <w:t>模块 3：技术架构</w:t>
      </w:r>
    </w:p>
    <w:p>
      <w:r>
        <w:rPr>
          <w:rFonts w:ascii="微软雅黑" w:hAnsi="微软雅黑" w:eastAsia="微软雅黑"/>
          <w:sz w:val="24"/>
        </w:rPr>
        <w:t>模块 4：产品线关系</w:t>
      </w:r>
    </w:p>
    <w:p>
      <w:r>
        <w:rPr>
          <w:rFonts w:ascii="微软雅黑" w:hAnsi="微软雅黑" w:eastAsia="微软雅黑"/>
          <w:sz w:val="24"/>
        </w:rPr>
        <w:t>模块 5：核心功能 TOP 5</w:t>
      </w:r>
    </w:p>
    <w:p>
      <w:r>
        <w:rPr>
          <w:rFonts w:ascii="微软雅黑" w:hAnsi="微软雅黑" w:eastAsia="微软雅黑"/>
          <w:sz w:val="24"/>
        </w:rPr>
        <w:t>模块 6：FAQ 高频问答</w:t>
      </w:r>
    </w:p>
    <w:p>
      <w:r>
        <w:rPr>
          <w:rFonts w:ascii="微软雅黑" w:hAnsi="微软雅黑" w:eastAsia="微软雅黑"/>
          <w:sz w:val="24"/>
        </w:rPr>
        <w:t>模块 7：竞品矩阵</w:t>
      </w:r>
    </w:p>
    <w:p>
      <w:r>
        <w:rPr>
          <w:rFonts w:ascii="微软雅黑" w:hAnsi="微软雅黑" w:eastAsia="微软雅黑"/>
          <w:sz w:val="24"/>
        </w:rPr>
        <w:t>模块 8：行业场景映射</w:t>
      </w:r>
    </w:p>
    <w:p>
      <w:r>
        <w:rPr>
          <w:rFonts w:ascii="微软雅黑" w:hAnsi="微软雅黑" w:eastAsia="微软雅黑"/>
          <w:sz w:val="24"/>
        </w:rPr>
        <w:t>模块 9：方案模板</w:t>
      </w:r>
    </w:p>
    <w:p>
      <w:r>
        <w:rPr>
          <w:rFonts w:ascii="微软雅黑" w:hAnsi="微软雅黑" w:eastAsia="微软雅黑"/>
          <w:sz w:val="24"/>
        </w:rPr>
        <w:t>模块 10：30 秒话术</w:t>
      </w:r>
    </w:p>
    <w:p>
      <w:r>
        <w:br w:type="page"/>
      </w:r>
    </w:p>
    <w:p>
      <w:pPr>
        <w:pStyle w:val="Heading1"/>
        <w:jc w:val="left"/>
      </w:pPr>
      <w:r>
        <w:rPr>
          <w:rFonts w:ascii="微软雅黑" w:hAnsi="微软雅黑" w:eastAsia="微软雅黑"/>
          <w:color w:val="1A478A"/>
          <w:sz w:val="36"/>
        </w:rPr>
        <w:t>模块 1：厂商速览</w:t>
      </w:r>
    </w:p>
    <w:tbl>
      <w:tblPr>
        <w:tblStyle w:val="TableGrid"/>
        <w:tblW w:type="auto" w:w="0"/>
        <w:jc w:val="center"/>
        <w:tblLook w:firstColumn="1" w:firstRow="1" w:lastColumn="0" w:lastRow="0" w:noHBand="0" w:noVBand="1" w:val="04A0"/>
      </w:tblPr>
      <w:tblGrid>
        <w:gridCol w:w="4323"/>
        <w:gridCol w:w="4323"/>
      </w:tblGrid>
      <w:tr>
        <w:tc>
          <w:tcPr>
            <w:tcW w:type="dxa" w:w="2268"/>
            <w:shd w:fill="1A478A"/>
          </w:tcPr>
          <w:p>
            <w:pPr>
              <w:jc w:val="center"/>
            </w:pPr>
            <w:r/>
            <w:r>
              <w:rPr>
                <w:rFonts w:ascii="微软雅黑" w:hAnsi="微软雅黑" w:eastAsia="微软雅黑"/>
                <w:b/>
                <w:color w:val="FFFFFF"/>
                <w:sz w:val="20"/>
              </w:rPr>
              <w:t>维度</w:t>
            </w:r>
          </w:p>
        </w:tc>
        <w:tc>
          <w:tcPr>
            <w:tcW w:type="dxa" w:w="6803"/>
            <w:shd w:fill="1A478A"/>
          </w:tcPr>
          <w:p>
            <w:pPr>
              <w:jc w:val="center"/>
            </w:pPr>
            <w:r/>
            <w:r>
              <w:rPr>
                <w:rFonts w:ascii="微软雅黑" w:hAnsi="微软雅黑" w:eastAsia="微软雅黑"/>
                <w:b/>
                <w:color w:val="FFFFFF"/>
                <w:sz w:val="20"/>
              </w:rPr>
              <w:t>内容</w:t>
            </w:r>
          </w:p>
        </w:tc>
      </w:tr>
      <w:tr>
        <w:tc>
          <w:tcPr>
            <w:tcW w:type="dxa" w:w="2268"/>
          </w:tcPr>
          <w:p>
            <w:pPr>
              <w:jc w:val="left"/>
            </w:pPr>
            <w:r/>
            <w:r>
              <w:rPr>
                <w:rFonts w:ascii="微软雅黑" w:hAnsi="微软雅黑" w:eastAsia="微软雅黑"/>
                <w:color w:val="333333"/>
                <w:sz w:val="19"/>
              </w:rPr>
              <w:t>厂商全称</w:t>
            </w:r>
          </w:p>
        </w:tc>
        <w:tc>
          <w:tcPr>
            <w:tcW w:type="dxa" w:w="6803"/>
          </w:tcPr>
          <w:p>
            <w:pPr>
              <w:jc w:val="left"/>
            </w:pPr>
            <w:r/>
            <w:r>
              <w:rPr>
                <w:rFonts w:ascii="微软雅黑" w:hAnsi="微软雅黑" w:eastAsia="微软雅黑"/>
                <w:color w:val="333333"/>
                <w:sz w:val="19"/>
              </w:rPr>
              <w:t>华为技术有限公司（Huawei Technologies Co., Ltd.）</w:t>
            </w:r>
          </w:p>
        </w:tc>
      </w:tr>
      <w:tr>
        <w:tc>
          <w:tcPr>
            <w:tcW w:type="dxa" w:w="2268"/>
            <w:shd w:fill="F2F6FC"/>
          </w:tcPr>
          <w:p>
            <w:pPr>
              <w:jc w:val="left"/>
            </w:pPr>
            <w:r/>
            <w:r>
              <w:rPr>
                <w:rFonts w:ascii="微软雅黑" w:hAnsi="微软雅黑" w:eastAsia="微软雅黑"/>
                <w:color w:val="333333"/>
                <w:sz w:val="19"/>
              </w:rPr>
              <w:t>成立时间</w:t>
            </w:r>
          </w:p>
        </w:tc>
        <w:tc>
          <w:tcPr>
            <w:tcW w:type="dxa" w:w="6803"/>
            <w:shd w:fill="F2F6FC"/>
          </w:tcPr>
          <w:p>
            <w:pPr>
              <w:jc w:val="left"/>
            </w:pPr>
            <w:r/>
            <w:r>
              <w:rPr>
                <w:rFonts w:ascii="微软雅黑" w:hAnsi="微软雅黑" w:eastAsia="微软雅黑"/>
                <w:color w:val="333333"/>
                <w:sz w:val="19"/>
              </w:rPr>
              <w:t>1987 年</w:t>
            </w:r>
          </w:p>
        </w:tc>
      </w:tr>
      <w:tr>
        <w:tc>
          <w:tcPr>
            <w:tcW w:type="dxa" w:w="2268"/>
          </w:tcPr>
          <w:p>
            <w:pPr>
              <w:jc w:val="left"/>
            </w:pPr>
            <w:r/>
            <w:r>
              <w:rPr>
                <w:rFonts w:ascii="微软雅黑" w:hAnsi="微软雅黑" w:eastAsia="微软雅黑"/>
                <w:color w:val="333333"/>
                <w:sz w:val="19"/>
              </w:rPr>
              <w:t>总部/主要市场</w:t>
            </w:r>
          </w:p>
        </w:tc>
        <w:tc>
          <w:tcPr>
            <w:tcW w:type="dxa" w:w="6803"/>
          </w:tcPr>
          <w:p>
            <w:pPr>
              <w:jc w:val="left"/>
            </w:pPr>
            <w:r/>
            <w:r>
              <w:rPr>
                <w:rFonts w:ascii="微软雅黑" w:hAnsi="微软雅黑" w:eastAsia="微软雅黑"/>
                <w:color w:val="333333"/>
                <w:sz w:val="19"/>
              </w:rPr>
              <w:t>深圳，中国 / 全球 170+ 国家</w:t>
            </w:r>
          </w:p>
        </w:tc>
      </w:tr>
      <w:tr>
        <w:tc>
          <w:tcPr>
            <w:tcW w:type="dxa" w:w="2268"/>
            <w:shd w:fill="F2F6FC"/>
          </w:tcPr>
          <w:p>
            <w:pPr>
              <w:jc w:val="left"/>
            </w:pPr>
            <w:r/>
            <w:r>
              <w:rPr>
                <w:rFonts w:ascii="微软雅黑" w:hAnsi="微软雅黑" w:eastAsia="微软雅黑"/>
                <w:color w:val="333333"/>
                <w:sz w:val="19"/>
              </w:rPr>
              <w:t>融资/上市状态</w:t>
            </w:r>
          </w:p>
        </w:tc>
        <w:tc>
          <w:tcPr>
            <w:tcW w:type="dxa" w:w="6803"/>
            <w:shd w:fill="F2F6FC"/>
          </w:tcPr>
          <w:p>
            <w:pPr>
              <w:jc w:val="left"/>
            </w:pPr>
            <w:r/>
            <w:r>
              <w:rPr>
                <w:rFonts w:ascii="微软雅黑" w:hAnsi="微软雅黑" w:eastAsia="微软雅黑"/>
                <w:color w:val="333333"/>
                <w:sz w:val="19"/>
              </w:rPr>
              <w:t>未上市（员工持股）</w:t>
            </w:r>
          </w:p>
        </w:tc>
      </w:tr>
      <w:tr>
        <w:tc>
          <w:tcPr>
            <w:tcW w:type="dxa" w:w="2268"/>
          </w:tcPr>
          <w:p>
            <w:pPr>
              <w:jc w:val="left"/>
            </w:pPr>
            <w:r/>
            <w:r>
              <w:rPr>
                <w:rFonts w:ascii="微软雅黑" w:hAnsi="微软雅黑" w:eastAsia="微软雅黑"/>
                <w:color w:val="333333"/>
                <w:sz w:val="19"/>
              </w:rPr>
              <w:t>员工规模</w:t>
            </w:r>
          </w:p>
        </w:tc>
        <w:tc>
          <w:tcPr>
            <w:tcW w:type="dxa" w:w="6803"/>
          </w:tcPr>
          <w:p>
            <w:pPr>
              <w:jc w:val="left"/>
            </w:pPr>
            <w:r/>
            <w:r>
              <w:rPr>
                <w:rFonts w:ascii="微软雅黑" w:hAnsi="微软雅黑" w:eastAsia="微软雅黑"/>
                <w:color w:val="333333"/>
                <w:sz w:val="19"/>
              </w:rPr>
              <w:t>约 20.7 万人（2024 年）</w:t>
            </w:r>
          </w:p>
        </w:tc>
      </w:tr>
      <w:tr>
        <w:tc>
          <w:tcPr>
            <w:tcW w:type="dxa" w:w="2268"/>
            <w:shd w:fill="F2F6FC"/>
          </w:tcPr>
          <w:p>
            <w:pPr>
              <w:jc w:val="left"/>
            </w:pPr>
            <w:r/>
            <w:r>
              <w:rPr>
                <w:rFonts w:ascii="微软雅黑" w:hAnsi="微软雅黑" w:eastAsia="微软雅黑"/>
                <w:color w:val="333333"/>
                <w:sz w:val="19"/>
              </w:rPr>
              <w:t>Gartner 象限 / IDC 排名</w:t>
            </w:r>
          </w:p>
        </w:tc>
        <w:tc>
          <w:tcPr>
            <w:tcW w:type="dxa" w:w="6803"/>
            <w:shd w:fill="F2F6FC"/>
          </w:tcPr>
          <w:p>
            <w:pPr>
              <w:jc w:val="left"/>
            </w:pPr>
            <w:r/>
            <w:r>
              <w:rPr>
                <w:rFonts w:ascii="微软雅黑" w:hAnsi="微软雅黑" w:eastAsia="微软雅黑"/>
                <w:color w:val="333333"/>
                <w:sz w:val="19"/>
              </w:rPr>
              <w:t>Gartner 超融合集成系统魔力象限领导者（多次入选）；IDC 中国 HCI 软件市场 TOP 2</w:t>
            </w:r>
          </w:p>
        </w:tc>
      </w:tr>
      <w:tr>
        <w:tc>
          <w:tcPr>
            <w:tcW w:type="dxa" w:w="2268"/>
          </w:tcPr>
          <w:p>
            <w:pPr>
              <w:jc w:val="left"/>
            </w:pPr>
            <w:r/>
            <w:r>
              <w:rPr>
                <w:rFonts w:ascii="微软雅黑" w:hAnsi="微软雅黑" w:eastAsia="微软雅黑"/>
                <w:color w:val="333333"/>
                <w:sz w:val="19"/>
              </w:rPr>
              <w:t>国内市场份额/地位</w:t>
            </w:r>
          </w:p>
        </w:tc>
        <w:tc>
          <w:tcPr>
            <w:tcW w:type="dxa" w:w="6803"/>
          </w:tcPr>
          <w:p>
            <w:pPr>
              <w:jc w:val="left"/>
            </w:pPr>
            <w:r/>
            <w:r>
              <w:rPr>
                <w:rFonts w:ascii="微软雅黑" w:hAnsi="微软雅黑" w:eastAsia="微软雅黑"/>
                <w:color w:val="333333"/>
                <w:sz w:val="19"/>
              </w:rPr>
              <w:t>中国超融合市场份额约 20-25%（仅次于新华三），政务/金融/教育行业份额领先</w:t>
            </w:r>
          </w:p>
        </w:tc>
      </w:tr>
      <w:tr>
        <w:tc>
          <w:tcPr>
            <w:tcW w:type="dxa" w:w="2268"/>
            <w:shd w:fill="F2F6FC"/>
          </w:tcPr>
          <w:p>
            <w:pPr>
              <w:jc w:val="left"/>
            </w:pPr>
            <w:r/>
            <w:r>
              <w:rPr>
                <w:rFonts w:ascii="微软雅黑" w:hAnsi="微软雅黑" w:eastAsia="微软雅黑"/>
                <w:color w:val="333333"/>
                <w:sz w:val="19"/>
              </w:rPr>
              <w:t>官网</w:t>
            </w:r>
          </w:p>
        </w:tc>
        <w:tc>
          <w:tcPr>
            <w:tcW w:type="dxa" w:w="6803"/>
            <w:shd w:fill="F2F6FC"/>
          </w:tcPr>
          <w:p>
            <w:pPr>
              <w:jc w:val="left"/>
            </w:pPr>
            <w:r/>
            <w:r>
              <w:rPr>
                <w:rFonts w:ascii="微软雅黑" w:hAnsi="微软雅黑" w:eastAsia="微软雅黑"/>
                <w:color w:val="333333"/>
                <w:sz w:val="19"/>
              </w:rPr>
              <w:t>https://e.huawei.com/cn/products/computing/fusioncube</w:t>
            </w:r>
          </w:p>
        </w:tc>
      </w:tr>
      <w:tr>
        <w:tc>
          <w:tcPr>
            <w:tcW w:type="dxa" w:w="2268"/>
          </w:tcPr>
          <w:p>
            <w:pPr>
              <w:jc w:val="left"/>
            </w:pPr>
            <w:r/>
            <w:r>
              <w:rPr>
                <w:rFonts w:ascii="微软雅黑" w:hAnsi="微软雅黑" w:eastAsia="微软雅黑"/>
                <w:color w:val="333333"/>
                <w:sz w:val="19"/>
              </w:rPr>
              <w:t>核心产品线</w:t>
            </w:r>
          </w:p>
        </w:tc>
        <w:tc>
          <w:tcPr>
            <w:tcW w:type="dxa" w:w="6803"/>
          </w:tcPr>
          <w:p>
            <w:pPr>
              <w:jc w:val="left"/>
            </w:pPr>
            <w:r/>
            <w:r>
              <w:rPr>
                <w:rFonts w:ascii="微软雅黑" w:hAnsi="微软雅黑" w:eastAsia="微软雅黑"/>
                <w:color w:val="333333"/>
                <w:sz w:val="19"/>
              </w:rPr>
              <w:t>FusionCube 超融合、FusionSphere 云平台、OceanStor 存储、泰山服务器、昇腾 AI</w:t>
            </w:r>
          </w:p>
        </w:tc>
      </w:tr>
    </w:tbl>
    <w:p/>
    <w:p>
      <w:pPr>
        <w:spacing w:before="80"/>
      </w:pPr>
      <w:r>
        <w:rPr>
          <w:rFonts w:ascii="微软雅黑" w:hAnsi="微软雅黑" w:eastAsia="微软雅黑"/>
          <w:i/>
          <w:color w:val="E86A17"/>
          <w:sz w:val="19"/>
        </w:rPr>
        <w:t>📌 售前要点：华为在国内 IT 基础设施领域品牌认知度第一梯队，讲"自主可控、信创全栈、从芯片到云全栈自研"这一句话就足够建立信任感。</w:t>
      </w:r>
    </w:p>
    <w:p>
      <w:r>
        <w:br w:type="page"/>
      </w:r>
    </w:p>
    <w:p>
      <w:pPr>
        <w:pStyle w:val="Heading1"/>
        <w:jc w:val="left"/>
      </w:pPr>
      <w:r>
        <w:rPr>
          <w:rFonts w:ascii="微软雅黑" w:hAnsi="微软雅黑" w:eastAsia="微软雅黑"/>
          <w:color w:val="1A478A"/>
          <w:sz w:val="36"/>
        </w:rPr>
        <w:t>模块 2：产品定位</w:t>
      </w:r>
    </w:p>
    <w:p>
      <w:pPr>
        <w:pStyle w:val="Heading2"/>
        <w:jc w:val="left"/>
      </w:pPr>
      <w:r>
        <w:rPr>
          <w:rFonts w:ascii="微软雅黑" w:hAnsi="微软雅黑" w:eastAsia="微软雅黑"/>
          <w:color w:val="2B579A"/>
          <w:sz w:val="28"/>
        </w:rPr>
        <w:t>一句话定位</w:t>
      </w:r>
    </w:p>
    <w:p>
      <w:r>
        <w:rPr>
          <w:rFonts w:ascii="微软雅黑" w:hAnsi="微软雅黑" w:eastAsia="微软雅黑"/>
          <w:sz w:val="21"/>
        </w:rPr>
        <w:t>FusionCube 超融合基础设施是一个面向中大型企业及政府客户的数据中心基础设施平台，帮助客户解决传统 IT 架构"建设周期长、运维复杂、扩展困难"的核心痛点，相比深信服 HCI / VMware vSAN 的差异化优势在于华为全栈自研（鲲鹏/昇腾芯片 + 泰山服务器 + FusionSphere + OceanStor 存储）带来的深度优化和信创合规能力。</w:t>
      </w:r>
    </w:p>
    <w:p>
      <w:pPr>
        <w:pStyle w:val="Heading2"/>
        <w:jc w:val="left"/>
      </w:pPr>
      <w:r>
        <w:rPr>
          <w:rFonts w:ascii="微软雅黑" w:hAnsi="微软雅黑" w:eastAsia="微软雅黑"/>
          <w:color w:val="2B579A"/>
          <w:sz w:val="28"/>
        </w:rPr>
        <w:t>目标客户画像</w:t>
      </w:r>
    </w:p>
    <w:tbl>
      <w:tblPr>
        <w:tblStyle w:val="TableGrid"/>
        <w:tblW w:type="auto" w:w="0"/>
        <w:jc w:val="center"/>
        <w:tblLook w:firstColumn="1" w:firstRow="1" w:lastColumn="0" w:lastRow="0" w:noHBand="0" w:noVBand="1" w:val="04A0"/>
      </w:tblPr>
      <w:tblGrid>
        <w:gridCol w:w="4323"/>
        <w:gridCol w:w="4323"/>
      </w:tblGrid>
      <w:tr>
        <w:tc>
          <w:tcPr>
            <w:tcW w:type="dxa" w:w="2268"/>
            <w:shd w:fill="1A478A"/>
          </w:tcPr>
          <w:p>
            <w:pPr>
              <w:jc w:val="center"/>
            </w:pPr>
            <w:r/>
            <w:r>
              <w:rPr>
                <w:rFonts w:ascii="微软雅黑" w:hAnsi="微软雅黑" w:eastAsia="微软雅黑"/>
                <w:b/>
                <w:color w:val="FFFFFF"/>
                <w:sz w:val="20"/>
              </w:rPr>
              <w:t>维度</w:t>
            </w:r>
          </w:p>
        </w:tc>
        <w:tc>
          <w:tcPr>
            <w:tcW w:type="dxa" w:w="6803"/>
            <w:shd w:fill="1A478A"/>
          </w:tcPr>
          <w:p>
            <w:pPr>
              <w:jc w:val="center"/>
            </w:pPr>
            <w:r/>
            <w:r>
              <w:rPr>
                <w:rFonts w:ascii="微软雅黑" w:hAnsi="微软雅黑" w:eastAsia="微软雅黑"/>
                <w:b/>
                <w:color w:val="FFFFFF"/>
                <w:sz w:val="20"/>
              </w:rPr>
              <w:t>说明</w:t>
            </w:r>
          </w:p>
        </w:tc>
      </w:tr>
      <w:tr>
        <w:tc>
          <w:tcPr>
            <w:tcW w:type="dxa" w:w="2268"/>
          </w:tcPr>
          <w:p>
            <w:pPr>
              <w:jc w:val="left"/>
            </w:pPr>
            <w:r/>
            <w:r>
              <w:rPr>
                <w:rFonts w:ascii="微软雅黑" w:hAnsi="微软雅黑" w:eastAsia="微软雅黑"/>
                <w:color w:val="333333"/>
                <w:sz w:val="19"/>
              </w:rPr>
              <w:t>行业</w:t>
            </w:r>
          </w:p>
        </w:tc>
        <w:tc>
          <w:tcPr>
            <w:tcW w:type="dxa" w:w="6803"/>
          </w:tcPr>
          <w:p>
            <w:pPr>
              <w:jc w:val="left"/>
            </w:pPr>
            <w:r/>
            <w:r>
              <w:rPr>
                <w:rFonts w:ascii="微软雅黑" w:hAnsi="微软雅黑" w:eastAsia="微软雅黑"/>
                <w:color w:val="333333"/>
                <w:sz w:val="19"/>
              </w:rPr>
              <w:t>政府、金融、教育、医疗、制造、能源、交通</w:t>
            </w:r>
          </w:p>
        </w:tc>
      </w:tr>
      <w:tr>
        <w:tc>
          <w:tcPr>
            <w:tcW w:type="dxa" w:w="2268"/>
            <w:shd w:fill="F2F6FC"/>
          </w:tcPr>
          <w:p>
            <w:pPr>
              <w:jc w:val="left"/>
            </w:pPr>
            <w:r/>
            <w:r>
              <w:rPr>
                <w:rFonts w:ascii="微软雅黑" w:hAnsi="微软雅黑" w:eastAsia="微软雅黑"/>
                <w:color w:val="333333"/>
                <w:sz w:val="19"/>
              </w:rPr>
              <w:t>规模</w:t>
            </w:r>
          </w:p>
        </w:tc>
        <w:tc>
          <w:tcPr>
            <w:tcW w:type="dxa" w:w="6803"/>
            <w:shd w:fill="F2F6FC"/>
          </w:tcPr>
          <w:p>
            <w:pPr>
              <w:jc w:val="left"/>
            </w:pPr>
            <w:r/>
            <w:r>
              <w:rPr>
                <w:rFonts w:ascii="微软雅黑" w:hAnsi="微软雅黑" w:eastAsia="微软雅黑"/>
                <w:color w:val="333333"/>
                <w:sz w:val="19"/>
              </w:rPr>
              <w:t>中大型企业（500 人以上）、政府机构、区县/地市政务云</w:t>
            </w:r>
          </w:p>
        </w:tc>
      </w:tr>
      <w:tr>
        <w:tc>
          <w:tcPr>
            <w:tcW w:type="dxa" w:w="2268"/>
          </w:tcPr>
          <w:p>
            <w:pPr>
              <w:jc w:val="left"/>
            </w:pPr>
            <w:r/>
            <w:r>
              <w:rPr>
                <w:rFonts w:ascii="微软雅黑" w:hAnsi="微软雅黑" w:eastAsia="微软雅黑"/>
                <w:color w:val="333333"/>
                <w:sz w:val="19"/>
              </w:rPr>
              <w:t>典型角色</w:t>
              <w:br/>
              <w:t>（最终决策者/技术决策者/使用者）</w:t>
            </w:r>
          </w:p>
        </w:tc>
        <w:tc>
          <w:tcPr>
            <w:tcW w:type="dxa" w:w="6803"/>
          </w:tcPr>
          <w:p>
            <w:pPr>
              <w:jc w:val="left"/>
            </w:pPr>
            <w:r/>
            <w:r>
              <w:rPr>
                <w:rFonts w:ascii="微软雅黑" w:hAnsi="微软雅黑" w:eastAsia="微软雅黑"/>
                <w:color w:val="333333"/>
                <w:sz w:val="19"/>
              </w:rPr>
              <w:t>CIO / 信息中心主任 / 分管领导（决策者）</w:t>
              <w:br/>
              <w:t>IT 架构师、基础设施负责人（技术决策者）</w:t>
              <w:br/>
              <w:t>IT 运维人员（使用者）</w:t>
            </w:r>
          </w:p>
        </w:tc>
      </w:tr>
      <w:tr>
        <w:tc>
          <w:tcPr>
            <w:tcW w:type="dxa" w:w="2268"/>
            <w:shd w:fill="F2F6FC"/>
          </w:tcPr>
          <w:p>
            <w:pPr>
              <w:jc w:val="left"/>
            </w:pPr>
            <w:r/>
            <w:r>
              <w:rPr>
                <w:rFonts w:ascii="微软雅黑" w:hAnsi="微软雅黑" w:eastAsia="微软雅黑"/>
                <w:color w:val="333333"/>
                <w:sz w:val="19"/>
              </w:rPr>
              <w:t>客户已有 IT 基础要求</w:t>
            </w:r>
          </w:p>
        </w:tc>
        <w:tc>
          <w:tcPr>
            <w:tcW w:type="dxa" w:w="6803"/>
            <w:shd w:fill="F2F6FC"/>
          </w:tcPr>
          <w:p>
            <w:pPr>
              <w:jc w:val="left"/>
            </w:pPr>
            <w:r/>
            <w:r>
              <w:rPr>
                <w:rFonts w:ascii="微软雅黑" w:hAnsi="微软雅黑" w:eastAsia="微软雅黑"/>
                <w:color w:val="333333"/>
                <w:sz w:val="19"/>
              </w:rPr>
              <w:t>已有虚拟化环境（VMware / 主流 Hypervisor）或处于传统物理架构向云化转型阶段</w:t>
            </w:r>
          </w:p>
        </w:tc>
      </w:tr>
    </w:tbl>
    <w:p/>
    <w:p>
      <w:pPr>
        <w:pStyle w:val="Heading2"/>
        <w:jc w:val="left"/>
      </w:pPr>
      <w:r>
        <w:rPr>
          <w:rFonts w:ascii="微软雅黑" w:hAnsi="微软雅黑" w:eastAsia="微软雅黑"/>
          <w:color w:val="2B579A"/>
          <w:sz w:val="28"/>
        </w:rPr>
        <w:t>核心痛点</w:t>
      </w:r>
    </w:p>
    <w:p>
      <w:r>
        <w:rPr>
          <w:rFonts w:ascii="微软雅黑" w:hAnsi="微软雅黑" w:eastAsia="微软雅黑"/>
          <w:b/>
          <w:sz w:val="21"/>
        </w:rPr>
        <w:t>• 建设周期长：</w:t>
      </w:r>
      <w:r>
        <w:rPr>
          <w:rFonts w:ascii="微软雅黑" w:hAnsi="微软雅黑" w:eastAsia="微软雅黑"/>
          <w:sz w:val="21"/>
        </w:rPr>
        <w:t>传统"服务器+存储+网络"分别采购、集成调试周期以月计</w:t>
      </w:r>
    </w:p>
    <w:p>
      <w:r>
        <w:rPr>
          <w:rFonts w:ascii="微软雅黑" w:hAnsi="微软雅黑" w:eastAsia="微软雅黑"/>
          <w:b/>
          <w:sz w:val="21"/>
        </w:rPr>
        <w:t>• 运维复杂：</w:t>
      </w:r>
      <w:r>
        <w:rPr>
          <w:rFonts w:ascii="微软雅黑" w:hAnsi="微软雅黑" w:eastAsia="微软雅黑"/>
          <w:sz w:val="21"/>
        </w:rPr>
        <w:t>多品牌设备各自管理、故障排查困难、运维人员技能要求高</w:t>
      </w:r>
    </w:p>
    <w:p>
      <w:r>
        <w:rPr>
          <w:rFonts w:ascii="微软雅黑" w:hAnsi="微软雅黑" w:eastAsia="微软雅黑"/>
          <w:b/>
          <w:sz w:val="21"/>
        </w:rPr>
        <w:t>• 扩展困难：</w:t>
      </w:r>
      <w:r>
        <w:rPr>
          <w:rFonts w:ascii="微软雅黑" w:hAnsi="微软雅黑" w:eastAsia="微软雅黑"/>
          <w:sz w:val="21"/>
        </w:rPr>
        <w:t>传统架构扩容需重新规划、业务中断风险大、线性扩展成本高</w:t>
      </w:r>
    </w:p>
    <w:p>
      <w:r>
        <w:rPr>
          <w:rFonts w:ascii="微软雅黑" w:hAnsi="微软雅黑" w:eastAsia="微软雅黑"/>
          <w:b/>
          <w:sz w:val="21"/>
        </w:rPr>
        <w:t>• 信创国产化压力：</w:t>
      </w:r>
      <w:r>
        <w:rPr>
          <w:rFonts w:ascii="微软雅黑" w:hAnsi="微软雅黑" w:eastAsia="微软雅黑"/>
          <w:sz w:val="21"/>
        </w:rPr>
        <w:t>党政/央企/金融行业有明确的国产化替代时间表，需满足合规</w:t>
      </w:r>
    </w:p>
    <w:p>
      <w:pPr>
        <w:pStyle w:val="Heading2"/>
        <w:jc w:val="left"/>
      </w:pPr>
      <w:r>
        <w:rPr>
          <w:rFonts w:ascii="微软雅黑" w:hAnsi="微软雅黑" w:eastAsia="微软雅黑"/>
          <w:color w:val="2B579A"/>
          <w:sz w:val="28"/>
        </w:rPr>
        <w:t>适用场景</w:t>
      </w:r>
    </w:p>
    <w:p>
      <w:r>
        <w:rPr>
          <w:rFonts w:ascii="微软雅黑" w:hAnsi="微软雅黑" w:eastAsia="微软雅黑"/>
          <w:sz w:val="21"/>
        </w:rPr>
        <w:t xml:space="preserve">  数据中心云化改造：将传统三层架构替换为超融合统一平台</w:t>
      </w:r>
    </w:p>
    <w:p>
      <w:r>
        <w:rPr>
          <w:rFonts w:ascii="微软雅黑" w:hAnsi="微软雅黑" w:eastAsia="微软雅黑"/>
          <w:sz w:val="21"/>
        </w:rPr>
        <w:t xml:space="preserve">  分支机构/边缘节点：远程站点轻量部署，本地无人值守运维</w:t>
      </w:r>
    </w:p>
    <w:p>
      <w:r>
        <w:rPr>
          <w:rFonts w:ascii="微软雅黑" w:hAnsi="微软雅黑" w:eastAsia="微软雅黑"/>
          <w:sz w:val="21"/>
        </w:rPr>
        <w:t xml:space="preserve">  桌面云（VDI）承载：华为桌面云 FusionAccess 的最佳底层平台</w:t>
      </w:r>
    </w:p>
    <w:p>
      <w:r>
        <w:rPr>
          <w:rFonts w:ascii="微软雅黑" w:hAnsi="微软雅黑" w:eastAsia="微软雅黑"/>
          <w:sz w:val="21"/>
        </w:rPr>
        <w:t xml:space="preserve">  数据库/关键业务承载：华为深度优化的 Oracle/MySQL 高性能方案</w:t>
      </w:r>
    </w:p>
    <w:p>
      <w:r>
        <w:br w:type="page"/>
      </w:r>
    </w:p>
    <w:p>
      <w:pPr>
        <w:pStyle w:val="Heading1"/>
        <w:jc w:val="left"/>
      </w:pPr>
      <w:r>
        <w:rPr>
          <w:rFonts w:ascii="微软雅黑" w:hAnsi="微软雅黑" w:eastAsia="微软雅黑"/>
          <w:color w:val="1A478A"/>
          <w:sz w:val="36"/>
        </w:rPr>
        <w:t>模块 3：技术架构</w:t>
      </w:r>
    </w:p>
    <w:p>
      <w:pPr>
        <w:jc w:val="center"/>
      </w:pPr>
      <w:r>
        <w:rPr>
          <w:rFonts w:ascii="Courier New" w:hAnsi="Courier New"/>
          <w:color w:val="333333"/>
          <w:sz w:val="14"/>
        </w:rPr>
        <w:t>┌──────────────────────────────────────────────────────────────────┐</w:t>
        <w:br/>
        <w:t>│                    FusionCube 超融合架构                           │</w:t>
        <w:br/>
        <w:t>│                                                                  │</w:t>
        <w:br/>
        <w:t>│  ┌──────────────────────────────────────────────────────────┐   │</w:t>
        <w:br/>
        <w:t>│  │                  统一管理平台 (FusionCube Manager)         │   │</w:t>
        <w:br/>
        <w:t>│  │         资源管理 · 监控告警 · 运维自动化 · 多集群管理        │   │</w:t>
        <w:br/>
        <w:t>│  └──────────────┬───────────────────────────┬──────────────┘   │</w:t>
        <w:br/>
        <w:t>│                 │                           │                   │</w:t>
        <w:br/>
        <w:t>│  ┌──────────────▼──────────┐  ┌─────────────▼──────────────┐   │</w:t>
        <w:br/>
        <w:t>│  │    FusionSphere 虚拟化    │  │       分布式存储引擎         │   │</w:t>
        <w:br/>
        <w:t>│  │  • 计算虚拟化(鲲鹏/x86)   │  │  • 分布式存储(FusionStorage) │   │</w:t>
        <w:br/>
        <w:t>│  │  • 网络虚拟化(Neutron)    │  │  • EC纠删码/多副本          │   │</w:t>
        <w:br/>
        <w:t>│  │  • 存储虚拟化(Manila)     │  │  • 智能缓存分层(Tiering)    │   │</w:t>
        <w:br/>
        <w:t>│  └──────────────┬──────────┘  └─────────────┬──────────────┘   │</w:t>
        <w:br/>
        <w:t>│                 │                           │                   │</w:t>
        <w:br/>
        <w:t>│  ┌──────────────▼───────────────────────────▼──────────────┐   │</w:t>
        <w:br/>
        <w:t>│  │                   硬件资源池                              │   │</w:t>
        <w:br/>
        <w:t>│  │  ┌─────────┐  ┌─────────┐  ┌─────────┐  ┌─────────┐    │   │</w:t>
        <w:br/>
        <w:t>│  │  │ 计算节点 │  │ 存储节点 │  │ 网络交换 │  │ GPU节点  │    │   │</w:t>
        <w:br/>
        <w:t>│  │  │ 鲲鹏/x86 │  │ SAS/SSD │  │ 25G/100G│  │ 昇腾GPU  │    │   │</w:t>
        <w:br/>
        <w:t>│  │  └─────────┘  └─────────┘  └─────────┘  └─────────┘    │   │</w:t>
        <w:br/>
        <w:t>│  └─────────────────────────────────────────────────────────┘   │</w:t>
        <w:br/>
        <w:t>│                                                                  │</w:t>
        <w:br/>
        <w:t>│  关键依赖：KVM 虚拟化(内核), 华为服务器/BMC管理, 交换机网络          │</w:t>
        <w:br/>
        <w:t>│  技术亮点：全栈自研优化, 数据面与控制面分离, 智能预测运维(AIops)       │</w:t>
        <w:br/>
        <w:t>└──────────────────────────────────────────────────────────────────┘</w:t>
      </w:r>
    </w:p>
    <w:p/>
    <w:tbl>
      <w:tblPr>
        <w:tblStyle w:val="TableGrid"/>
        <w:tblW w:type="auto" w:w="0"/>
        <w:jc w:val="center"/>
        <w:tblLook w:firstColumn="1" w:firstRow="1" w:lastColumn="0" w:lastRow="0" w:noHBand="0" w:noVBand="1" w:val="04A0"/>
      </w:tblPr>
      <w:tblGrid>
        <w:gridCol w:w="4323"/>
        <w:gridCol w:w="4323"/>
      </w:tblGrid>
      <w:tr>
        <w:tc>
          <w:tcPr>
            <w:tcW w:type="dxa" w:w="2268"/>
            <w:shd w:fill="1A478A"/>
          </w:tcPr>
          <w:p>
            <w:pPr>
              <w:jc w:val="center"/>
            </w:pPr>
            <w:r/>
            <w:r>
              <w:rPr>
                <w:rFonts w:ascii="微软雅黑" w:hAnsi="微软雅黑" w:eastAsia="微软雅黑"/>
                <w:b/>
                <w:color w:val="FFFFFF"/>
                <w:sz w:val="20"/>
              </w:rPr>
              <w:t>维度</w:t>
            </w:r>
          </w:p>
        </w:tc>
        <w:tc>
          <w:tcPr>
            <w:tcW w:type="dxa" w:w="6803"/>
            <w:shd w:fill="1A478A"/>
          </w:tcPr>
          <w:p>
            <w:pPr>
              <w:jc w:val="center"/>
            </w:pPr>
            <w:r/>
            <w:r>
              <w:rPr>
                <w:rFonts w:ascii="微软雅黑" w:hAnsi="微软雅黑" w:eastAsia="微软雅黑"/>
                <w:b/>
                <w:color w:val="FFFFFF"/>
                <w:sz w:val="20"/>
              </w:rPr>
              <w:t>说明</w:t>
            </w:r>
          </w:p>
        </w:tc>
      </w:tr>
      <w:tr>
        <w:tc>
          <w:tcPr>
            <w:tcW w:type="dxa" w:w="2268"/>
          </w:tcPr>
          <w:p>
            <w:pPr>
              <w:jc w:val="left"/>
            </w:pPr>
            <w:r/>
            <w:r>
              <w:rPr>
                <w:rFonts w:ascii="微软雅黑" w:hAnsi="微软雅黑" w:eastAsia="微软雅黑"/>
                <w:color w:val="333333"/>
                <w:sz w:val="19"/>
              </w:rPr>
              <w:t>部署形态</w:t>
            </w:r>
          </w:p>
        </w:tc>
        <w:tc>
          <w:tcPr>
            <w:tcW w:type="dxa" w:w="6803"/>
          </w:tcPr>
          <w:p>
            <w:pPr>
              <w:jc w:val="left"/>
            </w:pPr>
            <w:r/>
            <w:r>
              <w:rPr>
                <w:rFonts w:ascii="微软雅黑" w:hAnsi="微软雅黑" w:eastAsia="微软雅黑"/>
                <w:color w:val="333333"/>
                <w:sz w:val="19"/>
              </w:rPr>
              <w:t>软硬一体超融合设备（也可纯软件部署在华为服务器上）</w:t>
            </w:r>
          </w:p>
        </w:tc>
      </w:tr>
      <w:tr>
        <w:tc>
          <w:tcPr>
            <w:tcW w:type="dxa" w:w="2268"/>
            <w:shd w:fill="F2F6FC"/>
          </w:tcPr>
          <w:p>
            <w:pPr>
              <w:jc w:val="left"/>
            </w:pPr>
            <w:r/>
            <w:r>
              <w:rPr>
                <w:rFonts w:ascii="微软雅黑" w:hAnsi="微软雅黑" w:eastAsia="微软雅黑"/>
                <w:color w:val="333333"/>
                <w:sz w:val="19"/>
              </w:rPr>
              <w:t>最小部署规格</w:t>
            </w:r>
          </w:p>
        </w:tc>
        <w:tc>
          <w:tcPr>
            <w:tcW w:type="dxa" w:w="6803"/>
            <w:shd w:fill="F2F6FC"/>
          </w:tcPr>
          <w:p>
            <w:pPr>
              <w:jc w:val="left"/>
            </w:pPr>
            <w:r/>
            <w:r>
              <w:rPr>
                <w:rFonts w:ascii="微软雅黑" w:hAnsi="微软雅黑" w:eastAsia="微软雅黑"/>
                <w:color w:val="333333"/>
                <w:sz w:val="19"/>
              </w:rPr>
              <w:t>3 节点起；单节点最低 2*CPU(32核)、256GB 内存、2*SSD+4*HDD</w:t>
            </w:r>
          </w:p>
        </w:tc>
      </w:tr>
      <w:tr>
        <w:tc>
          <w:tcPr>
            <w:tcW w:type="dxa" w:w="2268"/>
          </w:tcPr>
          <w:p>
            <w:pPr>
              <w:jc w:val="left"/>
            </w:pPr>
            <w:r/>
            <w:r>
              <w:rPr>
                <w:rFonts w:ascii="微软雅黑" w:hAnsi="微软雅黑" w:eastAsia="微软雅黑"/>
                <w:color w:val="333333"/>
                <w:sz w:val="19"/>
              </w:rPr>
              <w:t>集群/高可用</w:t>
            </w:r>
          </w:p>
        </w:tc>
        <w:tc>
          <w:tcPr>
            <w:tcW w:type="dxa" w:w="6803"/>
          </w:tcPr>
          <w:p>
            <w:pPr>
              <w:jc w:val="left"/>
            </w:pPr>
            <w:r/>
            <w:r>
              <w:rPr>
                <w:rFonts w:ascii="微软雅黑" w:hAnsi="微软雅黑" w:eastAsia="微软雅黑"/>
                <w:color w:val="333333"/>
                <w:sz w:val="19"/>
              </w:rPr>
              <w:t>支持 N+1/N+2 冗余，跨站点容灾，多活数据中心</w:t>
            </w:r>
          </w:p>
        </w:tc>
      </w:tr>
      <w:tr>
        <w:tc>
          <w:tcPr>
            <w:tcW w:type="dxa" w:w="2268"/>
            <w:shd w:fill="F2F6FC"/>
          </w:tcPr>
          <w:p>
            <w:pPr>
              <w:jc w:val="left"/>
            </w:pPr>
            <w:r/>
            <w:r>
              <w:rPr>
                <w:rFonts w:ascii="微软雅黑" w:hAnsi="微软雅黑" w:eastAsia="微软雅黑"/>
                <w:color w:val="333333"/>
                <w:sz w:val="19"/>
              </w:rPr>
              <w:t>核心组件</w:t>
            </w:r>
          </w:p>
        </w:tc>
        <w:tc>
          <w:tcPr>
            <w:tcW w:type="dxa" w:w="6803"/>
            <w:shd w:fill="F2F6FC"/>
          </w:tcPr>
          <w:p>
            <w:pPr>
              <w:jc w:val="left"/>
            </w:pPr>
            <w:r/>
            <w:r>
              <w:rPr>
                <w:rFonts w:ascii="微软雅黑" w:hAnsi="微软雅黑" w:eastAsia="微软雅黑"/>
                <w:color w:val="333333"/>
                <w:sz w:val="19"/>
              </w:rPr>
              <w:t>FusionSphere (计算虚拟化), FusionStorage (分布式存储), FusionCube Manager (管理)</w:t>
            </w:r>
          </w:p>
        </w:tc>
      </w:tr>
      <w:tr>
        <w:tc>
          <w:tcPr>
            <w:tcW w:type="dxa" w:w="2268"/>
          </w:tcPr>
          <w:p>
            <w:pPr>
              <w:jc w:val="left"/>
            </w:pPr>
            <w:r/>
            <w:r>
              <w:rPr>
                <w:rFonts w:ascii="微软雅黑" w:hAnsi="微软雅黑" w:eastAsia="微软雅黑"/>
                <w:color w:val="333333"/>
                <w:sz w:val="19"/>
              </w:rPr>
              <w:t>对外接口/协议</w:t>
            </w:r>
          </w:p>
        </w:tc>
        <w:tc>
          <w:tcPr>
            <w:tcW w:type="dxa" w:w="6803"/>
          </w:tcPr>
          <w:p>
            <w:pPr>
              <w:jc w:val="left"/>
            </w:pPr>
            <w:r/>
            <w:r>
              <w:rPr>
                <w:rFonts w:ascii="微软雅黑" w:hAnsi="微软雅黑" w:eastAsia="微软雅黑"/>
                <w:color w:val="333333"/>
                <w:sz w:val="19"/>
              </w:rPr>
              <w:t>iSCSI, NFS, S3, RESTful API, Cinder Manila 驱动</w:t>
            </w:r>
          </w:p>
        </w:tc>
      </w:tr>
      <w:tr>
        <w:tc>
          <w:tcPr>
            <w:tcW w:type="dxa" w:w="2268"/>
            <w:shd w:fill="F2F6FC"/>
          </w:tcPr>
          <w:p>
            <w:pPr>
              <w:jc w:val="left"/>
            </w:pPr>
            <w:r/>
            <w:r>
              <w:rPr>
                <w:rFonts w:ascii="微软雅黑" w:hAnsi="微软雅黑" w:eastAsia="微软雅黑"/>
                <w:color w:val="333333"/>
                <w:sz w:val="19"/>
              </w:rPr>
              <w:t>关键依赖</w:t>
            </w:r>
          </w:p>
        </w:tc>
        <w:tc>
          <w:tcPr>
            <w:tcW w:type="dxa" w:w="6803"/>
            <w:shd w:fill="F2F6FC"/>
          </w:tcPr>
          <w:p>
            <w:pPr>
              <w:jc w:val="left"/>
            </w:pPr>
            <w:r/>
            <w:r>
              <w:rPr>
                <w:rFonts w:ascii="微软雅黑" w:hAnsi="微软雅黑" w:eastAsia="微软雅黑"/>
                <w:color w:val="333333"/>
                <w:sz w:val="19"/>
              </w:rPr>
              <w:t>华为服务器/交换机硬件，KVM 虚拟化</w:t>
            </w:r>
          </w:p>
        </w:tc>
      </w:tr>
      <w:tr>
        <w:tc>
          <w:tcPr>
            <w:tcW w:type="dxa" w:w="2268"/>
          </w:tcPr>
          <w:p>
            <w:pPr>
              <w:jc w:val="left"/>
            </w:pPr>
            <w:r/>
            <w:r>
              <w:rPr>
                <w:rFonts w:ascii="微软雅黑" w:hAnsi="微软雅黑" w:eastAsia="微软雅黑"/>
                <w:color w:val="333333"/>
                <w:sz w:val="19"/>
              </w:rPr>
              <w:t>技术亮点（3 个）</w:t>
            </w:r>
          </w:p>
        </w:tc>
        <w:tc>
          <w:tcPr>
            <w:tcW w:type="dxa" w:w="6803"/>
          </w:tcPr>
          <w:p>
            <w:pPr>
              <w:jc w:val="left"/>
            </w:pPr>
            <w:r/>
            <w:r>
              <w:rPr>
                <w:rFonts w:ascii="微软雅黑" w:hAnsi="微软雅黑" w:eastAsia="微软雅黑"/>
                <w:color w:val="333333"/>
                <w:sz w:val="19"/>
              </w:rPr>
              <w:t>① 全栈自研深度优化（鲲鹏+泰山+分布式存储)</w:t>
              <w:br/>
              <w:t>② 智能预测运维(AIops)</w:t>
              <w:br/>
              <w:t>③ 数据面与控制面分离消除单点瓶颈</w:t>
            </w:r>
          </w:p>
        </w:tc>
      </w:tr>
      <w:tr>
        <w:tc>
          <w:tcPr>
            <w:tcW w:type="dxa" w:w="2268"/>
            <w:shd w:fill="F2F6FC"/>
          </w:tcPr>
          <w:p>
            <w:pPr>
              <w:jc w:val="left"/>
            </w:pPr>
            <w:r/>
            <w:r>
              <w:rPr>
                <w:rFonts w:ascii="微软雅黑" w:hAnsi="微软雅黑" w:eastAsia="微软雅黑"/>
                <w:color w:val="333333"/>
                <w:sz w:val="19"/>
              </w:rPr>
              <w:t>性能关键指标</w:t>
            </w:r>
          </w:p>
        </w:tc>
        <w:tc>
          <w:tcPr>
            <w:tcW w:type="dxa" w:w="6803"/>
            <w:shd w:fill="F2F6FC"/>
          </w:tcPr>
          <w:p>
            <w:pPr>
              <w:jc w:val="left"/>
            </w:pPr>
            <w:r/>
            <w:r>
              <w:rPr>
                <w:rFonts w:ascii="微软雅黑" w:hAnsi="微软雅黑" w:eastAsia="微软雅黑"/>
                <w:color w:val="333333"/>
                <w:sz w:val="19"/>
              </w:rPr>
              <w:t>IOPS 可达 100万+（3节点); 延迟 &lt;1ms; 支持 100+ 节点集群</w:t>
            </w:r>
          </w:p>
        </w:tc>
      </w:tr>
    </w:tbl>
    <w:p/>
    <w:p>
      <w:pPr>
        <w:spacing w:before="80"/>
      </w:pPr>
      <w:r>
        <w:rPr>
          <w:rFonts w:ascii="微软雅黑" w:hAnsi="微软雅黑" w:eastAsia="微软雅黑"/>
          <w:i/>
          <w:color w:val="E86A17"/>
          <w:sz w:val="19"/>
        </w:rPr>
        <w:t>📌 售前要点：讲华为超融合不要只讲"超融合"，要强调"全栈"。客户买的不只是一套超融合，而是华为整个数据中心的入口——存储、网络、云管、AI 都能拉通。</w:t>
      </w:r>
    </w:p>
    <w:p>
      <w:r>
        <w:br w:type="page"/>
      </w:r>
    </w:p>
    <w:p>
      <w:pPr>
        <w:pStyle w:val="Heading1"/>
        <w:jc w:val="left"/>
      </w:pPr>
      <w:r>
        <w:rPr>
          <w:rFonts w:ascii="微软雅黑" w:hAnsi="微软雅黑" w:eastAsia="微软雅黑"/>
          <w:color w:val="1A478A"/>
          <w:sz w:val="36"/>
        </w:rPr>
        <w:t>模块 4：产品线关系</w:t>
      </w:r>
    </w:p>
    <w:p>
      <w:pPr>
        <w:pStyle w:val="Heading2"/>
        <w:jc w:val="left"/>
      </w:pPr>
      <w:r>
        <w:rPr>
          <w:rFonts w:ascii="微软雅黑" w:hAnsi="微软雅黑" w:eastAsia="微软雅黑"/>
          <w:color w:val="2B579A"/>
          <w:sz w:val="28"/>
        </w:rPr>
        <w:t>在众云网代理体系中的位置</w:t>
      </w:r>
    </w:p>
    <w:p>
      <w:pPr>
        <w:jc w:val="center"/>
      </w:pPr>
      <w:r>
        <w:rPr>
          <w:rFonts w:ascii="Courier New" w:hAnsi="Courier New"/>
          <w:color w:val="333333"/>
          <w:sz w:val="16"/>
        </w:rPr>
        <w:t xml:space="preserve">                 ┌─────────────────┐</w:t>
        <w:br/>
        <w:t xml:space="preserve">                 │   众云网代理线    │</w:t>
        <w:br/>
        <w:t xml:space="preserve">                 └────────┬────────┘</w:t>
        <w:br/>
        <w:t xml:space="preserve">            ┌─────────────┼─────────────┐</w:t>
        <w:br/>
        <w:t xml:space="preserve">            ▼             ▼             ▼</w:t>
        <w:br/>
        <w:t xml:space="preserve">       ┌─────────┐  ┌─────────┐  ┌─────────┐</w:t>
        <w:br/>
        <w:t xml:space="preserve">       │  网络    │  │IT基础设施 │  │  安全   │  ...</w:t>
        <w:br/>
        <w:t xml:space="preserve">       └─────────┘  └─────────┘  └─────────┘</w:t>
        <w:br/>
        <w:t xml:space="preserve">                      │       │</w:t>
        <w:br/>
        <w:t xml:space="preserve">                  ┌───┘       └───┐</w:t>
        <w:br/>
        <w:t xml:space="preserve">                  ▼               ▼</w:t>
        <w:br/>
        <w:t xml:space="preserve">             ┌────────┐     ┌──────────┐</w:t>
        <w:br/>
        <w:t xml:space="preserve">             │华为超融合│    │深信服HCI  │</w:t>
        <w:br/>
        <w:t xml:space="preserve">             │(新引入)  │    │(已有产品)  │</w:t>
        <w:br/>
        <w:t xml:space="preserve">             └────────┘     └──────────┘</w:t>
      </w:r>
    </w:p>
    <w:p>
      <w:pPr>
        <w:pStyle w:val="Heading2"/>
        <w:jc w:val="left"/>
      </w:pPr>
      <w:r>
        <w:rPr>
          <w:rFonts w:ascii="微软雅黑" w:hAnsi="微软雅黑" w:eastAsia="微软雅黑"/>
          <w:color w:val="2B579A"/>
          <w:sz w:val="28"/>
        </w:rPr>
        <w:t>关系矩阵</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1A478A"/>
          </w:tcPr>
          <w:p>
            <w:pPr>
              <w:jc w:val="center"/>
            </w:pPr>
            <w:r/>
            <w:r>
              <w:rPr>
                <w:rFonts w:ascii="微软雅黑" w:hAnsi="微软雅黑" w:eastAsia="微软雅黑"/>
                <w:b/>
                <w:color w:val="FFFFFF"/>
                <w:sz w:val="20"/>
              </w:rPr>
              <w:t>已有产品</w:t>
            </w:r>
          </w:p>
        </w:tc>
        <w:tc>
          <w:tcPr>
            <w:tcW w:type="dxa" w:w="2268"/>
            <w:shd w:fill="1A478A"/>
          </w:tcPr>
          <w:p>
            <w:pPr>
              <w:jc w:val="center"/>
            </w:pPr>
            <w:r/>
            <w:r>
              <w:rPr>
                <w:rFonts w:ascii="微软雅黑" w:hAnsi="微软雅黑" w:eastAsia="微软雅黑"/>
                <w:b/>
                <w:color w:val="FFFFFF"/>
                <w:sz w:val="20"/>
              </w:rPr>
              <w:t>与新产品关系</w:t>
            </w:r>
          </w:p>
        </w:tc>
        <w:tc>
          <w:tcPr>
            <w:tcW w:type="dxa" w:w="5102"/>
            <w:shd w:fill="1A478A"/>
          </w:tcPr>
          <w:p>
            <w:pPr>
              <w:jc w:val="center"/>
            </w:pPr>
            <w:r/>
            <w:r>
              <w:rPr>
                <w:rFonts w:ascii="微软雅黑" w:hAnsi="微软雅黑" w:eastAsia="微软雅黑"/>
                <w:b/>
                <w:color w:val="FFFFFF"/>
                <w:sz w:val="20"/>
              </w:rPr>
              <w:t>说明</w:t>
            </w:r>
          </w:p>
        </w:tc>
      </w:tr>
      <w:tr>
        <w:tc>
          <w:tcPr>
            <w:tcW w:type="dxa" w:w="1701"/>
          </w:tcPr>
          <w:p>
            <w:pPr>
              <w:jc w:val="left"/>
            </w:pPr>
            <w:r/>
            <w:r>
              <w:rPr>
                <w:rFonts w:ascii="微软雅黑" w:hAnsi="微软雅黑" w:eastAsia="微软雅黑"/>
                <w:color w:val="333333"/>
                <w:sz w:val="19"/>
              </w:rPr>
              <w:t>深信服 HCI</w:t>
            </w:r>
          </w:p>
        </w:tc>
        <w:tc>
          <w:tcPr>
            <w:tcW w:type="dxa" w:w="2268"/>
          </w:tcPr>
          <w:p>
            <w:pPr>
              <w:jc w:val="left"/>
            </w:pPr>
            <w:r/>
            <w:r>
              <w:rPr>
                <w:rFonts w:ascii="微软雅黑" w:hAnsi="微软雅黑" w:eastAsia="微软雅黑"/>
                <w:color w:val="333333"/>
                <w:sz w:val="19"/>
              </w:rPr>
              <w:t>互补（高端 vs 中低端）</w:t>
            </w:r>
          </w:p>
        </w:tc>
        <w:tc>
          <w:tcPr>
            <w:tcW w:type="dxa" w:w="5102"/>
          </w:tcPr>
          <w:p>
            <w:pPr>
              <w:jc w:val="left"/>
            </w:pPr>
            <w:r/>
            <w:r>
              <w:rPr>
                <w:rFonts w:ascii="微软雅黑" w:hAnsi="微软雅黑" w:eastAsia="微软雅黑"/>
                <w:color w:val="333333"/>
                <w:sz w:val="19"/>
              </w:rPr>
              <w:t>深信服 HCI 主攻中小客户/简单场景，华为 FusionCube 主攻中大型客户/关键业务。组合策略：客户分层，华为做头部客户，深信服做腰部客户</w:t>
            </w:r>
          </w:p>
        </w:tc>
      </w:tr>
      <w:tr>
        <w:tc>
          <w:tcPr>
            <w:tcW w:type="dxa" w:w="1701"/>
            <w:shd w:fill="F2F6FC"/>
          </w:tcPr>
          <w:p>
            <w:pPr>
              <w:jc w:val="left"/>
            </w:pPr>
            <w:r/>
            <w:r>
              <w:rPr>
                <w:rFonts w:ascii="微软雅黑" w:hAnsi="微软雅黑" w:eastAsia="微软雅黑"/>
                <w:color w:val="333333"/>
                <w:sz w:val="19"/>
              </w:rPr>
              <w:t>华为数通产品</w:t>
            </w:r>
          </w:p>
        </w:tc>
        <w:tc>
          <w:tcPr>
            <w:tcW w:type="dxa" w:w="2268"/>
            <w:shd w:fill="F2F6FC"/>
          </w:tcPr>
          <w:p>
            <w:pPr>
              <w:jc w:val="left"/>
            </w:pPr>
            <w:r/>
            <w:r>
              <w:rPr>
                <w:rFonts w:ascii="微软雅黑" w:hAnsi="微软雅黑" w:eastAsia="微软雅黑"/>
                <w:color w:val="333333"/>
                <w:sz w:val="19"/>
              </w:rPr>
              <w:t>互补</w:t>
            </w:r>
          </w:p>
        </w:tc>
        <w:tc>
          <w:tcPr>
            <w:tcW w:type="dxa" w:w="5102"/>
            <w:shd w:fill="F2F6FC"/>
          </w:tcPr>
          <w:p>
            <w:pPr>
              <w:jc w:val="left"/>
            </w:pPr>
            <w:r/>
            <w:r>
              <w:rPr>
                <w:rFonts w:ascii="微软雅黑" w:hAnsi="微软雅黑" w:eastAsia="微软雅黑"/>
                <w:color w:val="333333"/>
                <w:sz w:val="19"/>
              </w:rPr>
              <w:t>组合销售场景：FusionCube + 华为 CE 交换机 + 华为防火墙，打造"端到端华为数据中心解决方案"</w:t>
            </w:r>
          </w:p>
        </w:tc>
      </w:tr>
      <w:tr>
        <w:tc>
          <w:tcPr>
            <w:tcW w:type="dxa" w:w="1701"/>
          </w:tcPr>
          <w:p>
            <w:pPr>
              <w:jc w:val="left"/>
            </w:pPr>
            <w:r/>
            <w:r>
              <w:rPr>
                <w:rFonts w:ascii="微软雅黑" w:hAnsi="微软雅黑" w:eastAsia="微软雅黑"/>
                <w:color w:val="333333"/>
                <w:sz w:val="19"/>
              </w:rPr>
              <w:t>VMware 虚拟化</w:t>
            </w:r>
          </w:p>
        </w:tc>
        <w:tc>
          <w:tcPr>
            <w:tcW w:type="dxa" w:w="2268"/>
          </w:tcPr>
          <w:p>
            <w:pPr>
              <w:jc w:val="left"/>
            </w:pPr>
            <w:r/>
            <w:r>
              <w:rPr>
                <w:rFonts w:ascii="微软雅黑" w:hAnsi="微软雅黑" w:eastAsia="微软雅黑"/>
                <w:color w:val="333333"/>
                <w:sz w:val="19"/>
              </w:rPr>
              <w:t>替代</w:t>
            </w:r>
          </w:p>
        </w:tc>
        <w:tc>
          <w:tcPr>
            <w:tcW w:type="dxa" w:w="5102"/>
          </w:tcPr>
          <w:p>
            <w:pPr>
              <w:jc w:val="left"/>
            </w:pPr>
            <w:r/>
            <w:r>
              <w:rPr>
                <w:rFonts w:ascii="微软雅黑" w:hAnsi="微软雅黑" w:eastAsia="微软雅黑"/>
                <w:color w:val="333333"/>
                <w:sz w:val="19"/>
              </w:rPr>
              <w:t>替代条件：信创国产化要求客户、新采购客户。迁移路径：P2V/V2V 迁移工具（华为 Rainbow）</w:t>
            </w:r>
          </w:p>
        </w:tc>
      </w:tr>
      <w:tr>
        <w:tc>
          <w:tcPr>
            <w:tcW w:type="dxa" w:w="1701"/>
            <w:shd w:fill="F2F6FC"/>
          </w:tcPr>
          <w:p>
            <w:pPr>
              <w:jc w:val="left"/>
            </w:pPr>
            <w:r/>
            <w:r>
              <w:rPr>
                <w:rFonts w:ascii="微软雅黑" w:hAnsi="微软雅黑" w:eastAsia="微软雅黑"/>
                <w:color w:val="333333"/>
                <w:sz w:val="19"/>
              </w:rPr>
              <w:t>SmartX</w:t>
            </w:r>
          </w:p>
        </w:tc>
        <w:tc>
          <w:tcPr>
            <w:tcW w:type="dxa" w:w="2268"/>
            <w:shd w:fill="F2F6FC"/>
          </w:tcPr>
          <w:p>
            <w:pPr>
              <w:jc w:val="left"/>
            </w:pPr>
            <w:r/>
            <w:r>
              <w:rPr>
                <w:rFonts w:ascii="微软雅黑" w:hAnsi="微软雅黑" w:eastAsia="微软雅黑"/>
                <w:color w:val="333333"/>
                <w:sz w:val="19"/>
              </w:rPr>
              <w:t>竞争</w:t>
            </w:r>
          </w:p>
        </w:tc>
        <w:tc>
          <w:tcPr>
            <w:tcW w:type="dxa" w:w="5102"/>
            <w:shd w:fill="F2F6FC"/>
          </w:tcPr>
          <w:p>
            <w:pPr>
              <w:jc w:val="left"/>
            </w:pPr>
            <w:r/>
            <w:r>
              <w:rPr>
                <w:rFonts w:ascii="微软雅黑" w:hAnsi="微软雅黑" w:eastAsia="微软雅黑"/>
                <w:color w:val="333333"/>
                <w:sz w:val="19"/>
              </w:rPr>
              <w:t>竞争场景一致，华为优势：品牌、全栈能力、信创生态</w:t>
            </w:r>
          </w:p>
        </w:tc>
      </w:tr>
    </w:tbl>
    <w:p/>
    <w:p>
      <w:pPr>
        <w:spacing w:before="80"/>
      </w:pPr>
      <w:r>
        <w:rPr>
          <w:rFonts w:ascii="微软雅黑" w:hAnsi="微软雅黑" w:eastAsia="微软雅黑"/>
          <w:i/>
          <w:color w:val="E86A17"/>
          <w:sz w:val="19"/>
        </w:rPr>
        <w:t>📌 售前要点：跟客户沟通时，先问清楚"为什么考虑超融合？"——如果客户目标是信创国产化，直接推华为；如果是降本增效且规模较小，深信服 HCI 性价比更好。</w:t>
      </w:r>
    </w:p>
    <w:p>
      <w:r>
        <w:br w:type="page"/>
      </w:r>
    </w:p>
    <w:p>
      <w:pPr>
        <w:pStyle w:val="Heading1"/>
        <w:jc w:val="left"/>
      </w:pPr>
      <w:r>
        <w:rPr>
          <w:rFonts w:ascii="微软雅黑" w:hAnsi="微软雅黑" w:eastAsia="微软雅黑"/>
          <w:color w:val="1A478A"/>
          <w:sz w:val="36"/>
        </w:rPr>
        <w:t>模块 5：核心功能 TOP 5</w:t>
      </w:r>
    </w:p>
    <w:p>
      <w:r>
        <w:rPr>
          <w:rFonts w:ascii="微软雅黑" w:hAnsi="微软雅黑" w:eastAsia="微软雅黑"/>
          <w:sz w:val="21"/>
        </w:rPr>
        <w:t>按客户价值排序，非厂商宣传页顺序。</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680"/>
            <w:shd w:fill="1A478A"/>
          </w:tcPr>
          <w:p>
            <w:pPr>
              <w:jc w:val="center"/>
            </w:pPr>
            <w:r/>
            <w:r>
              <w:rPr>
                <w:rFonts w:ascii="微软雅黑" w:hAnsi="微软雅黑" w:eastAsia="微软雅黑"/>
                <w:b/>
                <w:color w:val="FFFFFF"/>
                <w:sz w:val="20"/>
              </w:rPr>
              <w:t>序号</w:t>
            </w:r>
          </w:p>
        </w:tc>
        <w:tc>
          <w:tcPr>
            <w:tcW w:type="dxa" w:w="1587"/>
            <w:shd w:fill="1A478A"/>
          </w:tcPr>
          <w:p>
            <w:pPr>
              <w:jc w:val="center"/>
            </w:pPr>
            <w:r/>
            <w:r>
              <w:rPr>
                <w:rFonts w:ascii="微软雅黑" w:hAnsi="微软雅黑" w:eastAsia="微软雅黑"/>
                <w:b/>
                <w:color w:val="FFFFFF"/>
                <w:sz w:val="20"/>
              </w:rPr>
              <w:t>功能名称</w:t>
            </w:r>
          </w:p>
        </w:tc>
        <w:tc>
          <w:tcPr>
            <w:tcW w:type="dxa" w:w="1984"/>
            <w:shd w:fill="1A478A"/>
          </w:tcPr>
          <w:p>
            <w:pPr>
              <w:jc w:val="center"/>
            </w:pPr>
            <w:r/>
            <w:r>
              <w:rPr>
                <w:rFonts w:ascii="微软雅黑" w:hAnsi="微软雅黑" w:eastAsia="微软雅黑"/>
                <w:b/>
                <w:color w:val="FFFFFF"/>
                <w:sz w:val="20"/>
              </w:rPr>
              <w:t>解决什么问题</w:t>
            </w:r>
          </w:p>
        </w:tc>
        <w:tc>
          <w:tcPr>
            <w:tcW w:type="dxa" w:w="1984"/>
            <w:shd w:fill="1A478A"/>
          </w:tcPr>
          <w:p>
            <w:pPr>
              <w:jc w:val="center"/>
            </w:pPr>
            <w:r/>
            <w:r>
              <w:rPr>
                <w:rFonts w:ascii="微软雅黑" w:hAnsi="微软雅黑" w:eastAsia="微软雅黑"/>
                <w:b/>
                <w:color w:val="FFFFFF"/>
                <w:sz w:val="20"/>
              </w:rPr>
              <w:t>典型使用场景</w:t>
            </w:r>
          </w:p>
        </w:tc>
        <w:tc>
          <w:tcPr>
            <w:tcW w:type="dxa" w:w="2835"/>
            <w:shd w:fill="1A478A"/>
          </w:tcPr>
          <w:p>
            <w:pPr>
              <w:jc w:val="center"/>
            </w:pPr>
            <w:r/>
            <w:r>
              <w:rPr>
                <w:rFonts w:ascii="微软雅黑" w:hAnsi="微软雅黑" w:eastAsia="微软雅黑"/>
                <w:b/>
                <w:color w:val="FFFFFF"/>
                <w:sz w:val="20"/>
              </w:rPr>
              <w:t>一句话客户话术</w:t>
            </w:r>
          </w:p>
        </w:tc>
      </w:tr>
      <w:tr>
        <w:tc>
          <w:tcPr>
            <w:tcW w:type="dxa" w:w="680"/>
          </w:tcPr>
          <w:p>
            <w:pPr>
              <w:jc w:val="left"/>
            </w:pPr>
            <w:r/>
            <w:r>
              <w:rPr>
                <w:rFonts w:ascii="微软雅黑" w:hAnsi="微软雅黑" w:eastAsia="微软雅黑"/>
                <w:color w:val="333333"/>
                <w:sz w:val="19"/>
              </w:rPr>
              <w:t>1</w:t>
            </w:r>
          </w:p>
        </w:tc>
        <w:tc>
          <w:tcPr>
            <w:tcW w:type="dxa" w:w="1587"/>
          </w:tcPr>
          <w:p>
            <w:pPr>
              <w:jc w:val="left"/>
            </w:pPr>
            <w:r/>
            <w:r>
              <w:rPr>
                <w:rFonts w:ascii="微软雅黑" w:hAnsi="微软雅黑" w:eastAsia="微软雅黑"/>
                <w:color w:val="333333"/>
                <w:sz w:val="19"/>
              </w:rPr>
              <w:t>全栈融合架构</w:t>
            </w:r>
          </w:p>
        </w:tc>
        <w:tc>
          <w:tcPr>
            <w:tcW w:type="dxa" w:w="1984"/>
          </w:tcPr>
          <w:p>
            <w:pPr>
              <w:jc w:val="left"/>
            </w:pPr>
            <w:r/>
            <w:r>
              <w:rPr>
                <w:rFonts w:ascii="微软雅黑" w:hAnsi="微软雅黑" w:eastAsia="微软雅黑"/>
                <w:color w:val="333333"/>
                <w:sz w:val="19"/>
              </w:rPr>
              <w:t>传统三层架构集成度低、交付周期长</w:t>
            </w:r>
          </w:p>
        </w:tc>
        <w:tc>
          <w:tcPr>
            <w:tcW w:type="dxa" w:w="1984"/>
          </w:tcPr>
          <w:p>
            <w:pPr>
              <w:jc w:val="left"/>
            </w:pPr>
            <w:r/>
            <w:r>
              <w:rPr>
                <w:rFonts w:ascii="微软雅黑" w:hAnsi="微软雅黑" w:eastAsia="微软雅黑"/>
                <w:color w:val="333333"/>
                <w:sz w:val="19"/>
              </w:rPr>
              <w:t>新建数据中心/机房改造，要求快速上线</w:t>
            </w:r>
          </w:p>
        </w:tc>
        <w:tc>
          <w:tcPr>
            <w:tcW w:type="dxa" w:w="2835"/>
          </w:tcPr>
          <w:p>
            <w:pPr>
              <w:jc w:val="left"/>
            </w:pPr>
            <w:r/>
            <w:r>
              <w:rPr>
                <w:rFonts w:ascii="微软雅黑" w:hAnsi="微软雅黑" w:eastAsia="微软雅黑"/>
                <w:color w:val="333333"/>
                <w:sz w:val="19"/>
              </w:rPr>
              <w:t>"华为超融合从芯片到服务器到虚拟化到存储全部自研，一个方案解决所有基础设施问题"</w:t>
            </w:r>
          </w:p>
        </w:tc>
      </w:tr>
      <w:tr>
        <w:tc>
          <w:tcPr>
            <w:tcW w:type="dxa" w:w="680"/>
            <w:shd w:fill="F2F6FC"/>
          </w:tcPr>
          <w:p>
            <w:pPr>
              <w:jc w:val="left"/>
            </w:pPr>
            <w:r/>
            <w:r>
              <w:rPr>
                <w:rFonts w:ascii="微软雅黑" w:hAnsi="微软雅黑" w:eastAsia="微软雅黑"/>
                <w:color w:val="333333"/>
                <w:sz w:val="19"/>
              </w:rPr>
              <w:t>2</w:t>
            </w:r>
          </w:p>
        </w:tc>
        <w:tc>
          <w:tcPr>
            <w:tcW w:type="dxa" w:w="1587"/>
            <w:shd w:fill="F2F6FC"/>
          </w:tcPr>
          <w:p>
            <w:pPr>
              <w:jc w:val="left"/>
            </w:pPr>
            <w:r/>
            <w:r>
              <w:rPr>
                <w:rFonts w:ascii="微软雅黑" w:hAnsi="微软雅黑" w:eastAsia="微软雅黑"/>
                <w:color w:val="333333"/>
                <w:sz w:val="19"/>
              </w:rPr>
              <w:t>分布式存储引擎</w:t>
              <w:br/>
              <w:t>(FusionStorage)</w:t>
            </w:r>
          </w:p>
        </w:tc>
        <w:tc>
          <w:tcPr>
            <w:tcW w:type="dxa" w:w="1984"/>
            <w:shd w:fill="F2F6FC"/>
          </w:tcPr>
          <w:p>
            <w:pPr>
              <w:jc w:val="left"/>
            </w:pPr>
            <w:r/>
            <w:r>
              <w:rPr>
                <w:rFonts w:ascii="微软雅黑" w:hAnsi="微软雅黑" w:eastAsia="微软雅黑"/>
                <w:color w:val="333333"/>
                <w:sz w:val="19"/>
              </w:rPr>
              <w:t>传统集中式存储存在单点瓶颈、扩展成本高</w:t>
            </w:r>
          </w:p>
        </w:tc>
        <w:tc>
          <w:tcPr>
            <w:tcW w:type="dxa" w:w="1984"/>
            <w:shd w:fill="F2F6FC"/>
          </w:tcPr>
          <w:p>
            <w:pPr>
              <w:jc w:val="left"/>
            </w:pPr>
            <w:r/>
            <w:r>
              <w:rPr>
                <w:rFonts w:ascii="微软雅黑" w:hAnsi="微软雅黑" w:eastAsia="微软雅黑"/>
                <w:color w:val="333333"/>
                <w:sz w:val="19"/>
              </w:rPr>
              <w:t>数据库、VDI、大数据等 IO 密集型场景</w:t>
            </w:r>
          </w:p>
        </w:tc>
        <w:tc>
          <w:tcPr>
            <w:tcW w:type="dxa" w:w="2835"/>
            <w:shd w:fill="F2F6FC"/>
          </w:tcPr>
          <w:p>
            <w:pPr>
              <w:jc w:val="left"/>
            </w:pPr>
            <w:r/>
            <w:r>
              <w:rPr>
                <w:rFonts w:ascii="微软雅黑" w:hAnsi="微软雅黑" w:eastAsia="微软雅黑"/>
                <w:color w:val="333333"/>
                <w:sz w:val="19"/>
              </w:rPr>
              <w:t>"分布式存储按节点线性扩展，性能和容量同步增长，不像传统存储要推倒重来"</w:t>
            </w:r>
          </w:p>
        </w:tc>
      </w:tr>
      <w:tr>
        <w:tc>
          <w:tcPr>
            <w:tcW w:type="dxa" w:w="680"/>
          </w:tcPr>
          <w:p>
            <w:pPr>
              <w:jc w:val="left"/>
            </w:pPr>
            <w:r/>
            <w:r>
              <w:rPr>
                <w:rFonts w:ascii="微软雅黑" w:hAnsi="微软雅黑" w:eastAsia="微软雅黑"/>
                <w:color w:val="333333"/>
                <w:sz w:val="19"/>
              </w:rPr>
              <w:t>3</w:t>
            </w:r>
          </w:p>
        </w:tc>
        <w:tc>
          <w:tcPr>
            <w:tcW w:type="dxa" w:w="1587"/>
          </w:tcPr>
          <w:p>
            <w:pPr>
              <w:jc w:val="left"/>
            </w:pPr>
            <w:r/>
            <w:r>
              <w:rPr>
                <w:rFonts w:ascii="微软雅黑" w:hAnsi="微软雅黑" w:eastAsia="微软雅黑"/>
                <w:color w:val="333333"/>
                <w:sz w:val="19"/>
              </w:rPr>
              <w:t>智能运维</w:t>
              <w:br/>
              <w:t>(FusionCube Manager)</w:t>
            </w:r>
          </w:p>
        </w:tc>
        <w:tc>
          <w:tcPr>
            <w:tcW w:type="dxa" w:w="1984"/>
          </w:tcPr>
          <w:p>
            <w:pPr>
              <w:jc w:val="left"/>
            </w:pPr>
            <w:r/>
            <w:r>
              <w:rPr>
                <w:rFonts w:ascii="微软雅黑" w:hAnsi="微软雅黑" w:eastAsia="微软雅黑"/>
                <w:color w:val="333333"/>
                <w:sz w:val="19"/>
              </w:rPr>
              <w:t>运维人员技能要求高、故障定位慢</w:t>
            </w:r>
          </w:p>
        </w:tc>
        <w:tc>
          <w:tcPr>
            <w:tcW w:type="dxa" w:w="1984"/>
          </w:tcPr>
          <w:p>
            <w:pPr>
              <w:jc w:val="left"/>
            </w:pPr>
            <w:r/>
            <w:r>
              <w:rPr>
                <w:rFonts w:ascii="微软雅黑" w:hAnsi="微软雅黑" w:eastAsia="微软雅黑"/>
                <w:color w:val="333333"/>
                <w:sz w:val="19"/>
              </w:rPr>
              <w:t>分支站点无人值守、远程统一运维</w:t>
            </w:r>
          </w:p>
        </w:tc>
        <w:tc>
          <w:tcPr>
            <w:tcW w:type="dxa" w:w="2835"/>
          </w:tcPr>
          <w:p>
            <w:pPr>
              <w:jc w:val="left"/>
            </w:pPr>
            <w:r/>
            <w:r>
              <w:rPr>
                <w:rFonts w:ascii="微软雅黑" w:hAnsi="微软雅黑" w:eastAsia="微软雅黑"/>
                <w:color w:val="333333"/>
                <w:sz w:val="19"/>
              </w:rPr>
              <w:t>"一个管理平台管所有节点，AI 预测硬盘故障和性能瓶颈，运维效率提升 70%"</w:t>
            </w:r>
          </w:p>
        </w:tc>
      </w:tr>
      <w:tr>
        <w:tc>
          <w:tcPr>
            <w:tcW w:type="dxa" w:w="680"/>
            <w:shd w:fill="F2F6FC"/>
          </w:tcPr>
          <w:p>
            <w:pPr>
              <w:jc w:val="left"/>
            </w:pPr>
            <w:r/>
            <w:r>
              <w:rPr>
                <w:rFonts w:ascii="微软雅黑" w:hAnsi="微软雅黑" w:eastAsia="微软雅黑"/>
                <w:color w:val="333333"/>
                <w:sz w:val="19"/>
              </w:rPr>
              <w:t>4</w:t>
            </w:r>
          </w:p>
        </w:tc>
        <w:tc>
          <w:tcPr>
            <w:tcW w:type="dxa" w:w="1587"/>
            <w:shd w:fill="F2F6FC"/>
          </w:tcPr>
          <w:p>
            <w:pPr>
              <w:jc w:val="left"/>
            </w:pPr>
            <w:r/>
            <w:r>
              <w:rPr>
                <w:rFonts w:ascii="微软雅黑" w:hAnsi="微软雅黑" w:eastAsia="微软雅黑"/>
                <w:color w:val="333333"/>
                <w:sz w:val="19"/>
              </w:rPr>
              <w:t>信创全栈适配</w:t>
            </w:r>
          </w:p>
        </w:tc>
        <w:tc>
          <w:tcPr>
            <w:tcW w:type="dxa" w:w="1984"/>
            <w:shd w:fill="F2F6FC"/>
          </w:tcPr>
          <w:p>
            <w:pPr>
              <w:jc w:val="left"/>
            </w:pPr>
            <w:r/>
            <w:r>
              <w:rPr>
                <w:rFonts w:ascii="微软雅黑" w:hAnsi="微软雅黑" w:eastAsia="微软雅黑"/>
                <w:color w:val="333333"/>
                <w:sz w:val="19"/>
              </w:rPr>
              <w:t>信创国产化要求，x86 架构需替换为国产</w:t>
            </w:r>
          </w:p>
        </w:tc>
        <w:tc>
          <w:tcPr>
            <w:tcW w:type="dxa" w:w="1984"/>
            <w:shd w:fill="F2F6FC"/>
          </w:tcPr>
          <w:p>
            <w:pPr>
              <w:jc w:val="left"/>
            </w:pPr>
            <w:r/>
            <w:r>
              <w:rPr>
                <w:rFonts w:ascii="微软雅黑" w:hAnsi="微软雅黑" w:eastAsia="微软雅黑"/>
                <w:color w:val="333333"/>
                <w:sz w:val="19"/>
              </w:rPr>
              <w:t>党政机关、央国企信创替代项目</w:t>
            </w:r>
          </w:p>
        </w:tc>
        <w:tc>
          <w:tcPr>
            <w:tcW w:type="dxa" w:w="2835"/>
            <w:shd w:fill="F2F6FC"/>
          </w:tcPr>
          <w:p>
            <w:pPr>
              <w:jc w:val="left"/>
            </w:pPr>
            <w:r/>
            <w:r>
              <w:rPr>
                <w:rFonts w:ascii="微软雅黑" w:hAnsi="微软雅黑" w:eastAsia="微软雅黑"/>
                <w:color w:val="333333"/>
                <w:sz w:val="19"/>
              </w:rPr>
              <w:t>"华为超融合是信创全栈方案里最成熟的——鲲鹏芯片、麒麟系统、高斯数据库，一套全过"</w:t>
            </w:r>
          </w:p>
        </w:tc>
      </w:tr>
      <w:tr>
        <w:tc>
          <w:tcPr>
            <w:tcW w:type="dxa" w:w="680"/>
          </w:tcPr>
          <w:p>
            <w:pPr>
              <w:jc w:val="left"/>
            </w:pPr>
            <w:r/>
            <w:r>
              <w:rPr>
                <w:rFonts w:ascii="微软雅黑" w:hAnsi="微软雅黑" w:eastAsia="微软雅黑"/>
                <w:color w:val="333333"/>
                <w:sz w:val="19"/>
              </w:rPr>
              <w:t>5</w:t>
            </w:r>
          </w:p>
        </w:tc>
        <w:tc>
          <w:tcPr>
            <w:tcW w:type="dxa" w:w="1587"/>
          </w:tcPr>
          <w:p>
            <w:pPr>
              <w:jc w:val="left"/>
            </w:pPr>
            <w:r/>
            <w:r>
              <w:rPr>
                <w:rFonts w:ascii="微软雅黑" w:hAnsi="微软雅黑" w:eastAsia="微软雅黑"/>
                <w:color w:val="333333"/>
                <w:sz w:val="19"/>
              </w:rPr>
              <w:t>混合云扩展</w:t>
            </w:r>
          </w:p>
        </w:tc>
        <w:tc>
          <w:tcPr>
            <w:tcW w:type="dxa" w:w="1984"/>
          </w:tcPr>
          <w:p>
            <w:pPr>
              <w:jc w:val="left"/>
            </w:pPr>
            <w:r/>
            <w:r>
              <w:rPr>
                <w:rFonts w:ascii="微软雅黑" w:hAnsi="微软雅黑" w:eastAsia="微软雅黑"/>
                <w:color w:val="333333"/>
                <w:sz w:val="19"/>
              </w:rPr>
              <w:t>本地资源不足时需上云、不希望重新部署</w:t>
            </w:r>
          </w:p>
        </w:tc>
        <w:tc>
          <w:tcPr>
            <w:tcW w:type="dxa" w:w="1984"/>
          </w:tcPr>
          <w:p>
            <w:pPr>
              <w:jc w:val="left"/>
            </w:pPr>
            <w:r/>
            <w:r>
              <w:rPr>
                <w:rFonts w:ascii="微软雅黑" w:hAnsi="微软雅黑" w:eastAsia="微软雅黑"/>
                <w:color w:val="333333"/>
                <w:sz w:val="19"/>
              </w:rPr>
              <w:t>业务弹性扩缩容、灾备上云场景</w:t>
            </w:r>
          </w:p>
        </w:tc>
        <w:tc>
          <w:tcPr>
            <w:tcW w:type="dxa" w:w="2835"/>
          </w:tcPr>
          <w:p>
            <w:pPr>
              <w:jc w:val="left"/>
            </w:pPr>
            <w:r/>
            <w:r>
              <w:rPr>
                <w:rFonts w:ascii="微软雅黑" w:hAnsi="微软雅黑" w:eastAsia="微软雅黑"/>
                <w:color w:val="333333"/>
                <w:sz w:val="19"/>
              </w:rPr>
              <w:t>"本地 FusionCube + 华为云统一管理，业务可以按需上下云，资源弹性调度"</w:t>
            </w:r>
          </w:p>
        </w:tc>
      </w:tr>
    </w:tbl>
    <w:p/>
    <w:p>
      <w:pPr>
        <w:pStyle w:val="Heading2"/>
        <w:jc w:val="left"/>
      </w:pPr>
      <w:r>
        <w:rPr>
          <w:rFonts w:ascii="微软雅黑" w:hAnsi="微软雅黑" w:eastAsia="微软雅黑"/>
          <w:color w:val="2B579A"/>
          <w:sz w:val="28"/>
        </w:rPr>
        <w:t>话术公式（SCQA 框架）</w:t>
      </w:r>
    </w:p>
    <w:p>
      <w:r>
        <w:rPr>
          <w:rFonts w:ascii="微软雅黑" w:hAnsi="微软雅黑" w:eastAsia="微软雅黑"/>
          <w:sz w:val="21"/>
        </w:rPr>
        <w:t>"很多客户的 IT 部门经常遇到基础设施分散、运维压力大、信创时间紧的问题。我们华为 FusionCube 通过从芯片到云的全栈融合架构来解决，把计算、存储、网络、管理全部整合在一个平台上，最终能帮您实现建设周期从月缩短到天、运维人力减半、一步到位满足信创合规。我们之前帮某省政务云/某国有银行也做过类似的..."</w:t>
      </w:r>
    </w:p>
    <w:p>
      <w:r>
        <w:br w:type="page"/>
      </w:r>
    </w:p>
    <w:p>
      <w:pPr>
        <w:pStyle w:val="Heading1"/>
        <w:jc w:val="left"/>
      </w:pPr>
      <w:r>
        <w:rPr>
          <w:rFonts w:ascii="微软雅黑" w:hAnsi="微软雅黑" w:eastAsia="微软雅黑"/>
          <w:color w:val="1A478A"/>
          <w:sz w:val="36"/>
        </w:rPr>
        <w:t>模块 6：FAQ 高频问答</w:t>
      </w:r>
    </w:p>
    <w:p>
      <w:pPr>
        <w:pStyle w:val="Heading2"/>
        <w:jc w:val="left"/>
      </w:pPr>
      <w:r>
        <w:rPr>
          <w:rFonts w:ascii="微软雅黑" w:hAnsi="微软雅黑" w:eastAsia="微软雅黑"/>
          <w:color w:val="2B579A"/>
          <w:sz w:val="28"/>
        </w:rPr>
        <w:t>通用必问</w:t>
      </w:r>
    </w:p>
    <w:tbl>
      <w:tblPr>
        <w:tblStyle w:val="TableGrid"/>
        <w:tblW w:type="auto" w:w="0"/>
        <w:jc w:val="center"/>
        <w:tblLook w:firstColumn="1" w:firstRow="1" w:lastColumn="0" w:lastRow="0" w:noHBand="0" w:noVBand="1" w:val="04A0"/>
      </w:tblPr>
      <w:tblGrid>
        <w:gridCol w:w="2882"/>
        <w:gridCol w:w="2882"/>
        <w:gridCol w:w="2882"/>
      </w:tblGrid>
      <w:tr>
        <w:tc>
          <w:tcPr>
            <w:tcW w:type="dxa" w:w="454"/>
            <w:shd w:fill="1A478A"/>
          </w:tcPr>
          <w:p>
            <w:pPr>
              <w:jc w:val="center"/>
            </w:pPr>
            <w:r/>
            <w:r>
              <w:rPr>
                <w:rFonts w:ascii="微软雅黑" w:hAnsi="微软雅黑" w:eastAsia="微软雅黑"/>
                <w:b/>
                <w:color w:val="FFFFFF"/>
                <w:sz w:val="20"/>
              </w:rPr>
              <w:t>#</w:t>
            </w:r>
          </w:p>
        </w:tc>
        <w:tc>
          <w:tcPr>
            <w:tcW w:type="dxa" w:w="1984"/>
            <w:shd w:fill="1A478A"/>
          </w:tcPr>
          <w:p>
            <w:pPr>
              <w:jc w:val="center"/>
            </w:pPr>
            <w:r/>
            <w:r>
              <w:rPr>
                <w:rFonts w:ascii="微软雅黑" w:hAnsi="微软雅黑" w:eastAsia="微软雅黑"/>
                <w:b/>
                <w:color w:val="FFFFFF"/>
                <w:sz w:val="20"/>
              </w:rPr>
              <w:t>客户问题</w:t>
            </w:r>
          </w:p>
        </w:tc>
        <w:tc>
          <w:tcPr>
            <w:tcW w:type="dxa" w:w="6520"/>
            <w:shd w:fill="1A478A"/>
          </w:tcPr>
          <w:p>
            <w:pPr>
              <w:jc w:val="center"/>
            </w:pPr>
            <w:r/>
            <w:r>
              <w:rPr>
                <w:rFonts w:ascii="微软雅黑" w:hAnsi="微软雅黑" w:eastAsia="微软雅黑"/>
                <w:b/>
                <w:color w:val="FFFFFF"/>
                <w:sz w:val="20"/>
              </w:rPr>
              <w:t>标准应答</w:t>
            </w:r>
          </w:p>
        </w:tc>
      </w:tr>
      <w:tr>
        <w:tc>
          <w:tcPr>
            <w:tcW w:type="dxa" w:w="454"/>
          </w:tcPr>
          <w:p>
            <w:pPr>
              <w:jc w:val="left"/>
            </w:pPr>
            <w:r/>
            <w:r>
              <w:rPr>
                <w:rFonts w:ascii="微软雅黑" w:hAnsi="微软雅黑" w:eastAsia="微软雅黑"/>
                <w:color w:val="333333"/>
                <w:sz w:val="19"/>
              </w:rPr>
              <w:t>1</w:t>
            </w:r>
          </w:p>
        </w:tc>
        <w:tc>
          <w:tcPr>
            <w:tcW w:type="dxa" w:w="1984"/>
          </w:tcPr>
          <w:p>
            <w:pPr>
              <w:jc w:val="left"/>
            </w:pPr>
            <w:r/>
            <w:r>
              <w:rPr>
                <w:rFonts w:ascii="微软雅黑" w:hAnsi="微软雅黑" w:eastAsia="微软雅黑"/>
                <w:color w:val="333333"/>
                <w:sz w:val="19"/>
              </w:rPr>
              <w:t>你们和 VMware vSAN 比有什么优势？</w:t>
            </w:r>
          </w:p>
        </w:tc>
        <w:tc>
          <w:tcPr>
            <w:tcW w:type="dxa" w:w="6520"/>
          </w:tcPr>
          <w:p>
            <w:pPr>
              <w:jc w:val="left"/>
            </w:pPr>
            <w:r/>
            <w:r>
              <w:rPr>
                <w:rFonts w:ascii="微软雅黑" w:hAnsi="微软雅黑" w:eastAsia="微软雅黑"/>
                <w:color w:val="333333"/>
                <w:sz w:val="19"/>
              </w:rPr>
              <w:t>"VMware 技术成熟，但 Broadcom 收购后授权模式大变，很多客户续费成本翻倍。华为是全栈自研，没有授权风险，信创合规一步到位。纯功能层面，分布式存储 IOPS 领先 vSAN 约 30%"</w:t>
            </w:r>
          </w:p>
        </w:tc>
      </w:tr>
      <w:tr>
        <w:tc>
          <w:tcPr>
            <w:tcW w:type="dxa" w:w="454"/>
            <w:shd w:fill="F2F6FC"/>
          </w:tcPr>
          <w:p>
            <w:pPr>
              <w:jc w:val="left"/>
            </w:pPr>
            <w:r/>
            <w:r>
              <w:rPr>
                <w:rFonts w:ascii="微软雅黑" w:hAnsi="微软雅黑" w:eastAsia="微软雅黑"/>
                <w:color w:val="333333"/>
                <w:sz w:val="19"/>
              </w:rPr>
              <w:t>2</w:t>
            </w:r>
          </w:p>
        </w:tc>
        <w:tc>
          <w:tcPr>
            <w:tcW w:type="dxa" w:w="1984"/>
            <w:shd w:fill="F2F6FC"/>
          </w:tcPr>
          <w:p>
            <w:pPr>
              <w:jc w:val="left"/>
            </w:pPr>
            <w:r/>
            <w:r>
              <w:rPr>
                <w:rFonts w:ascii="微软雅黑" w:hAnsi="微软雅黑" w:eastAsia="微软雅黑"/>
                <w:color w:val="333333"/>
                <w:sz w:val="19"/>
              </w:rPr>
              <w:t>部署复杂吗？对业务有什么影响？</w:t>
            </w:r>
          </w:p>
        </w:tc>
        <w:tc>
          <w:tcPr>
            <w:tcW w:type="dxa" w:w="6520"/>
            <w:shd w:fill="F2F6FC"/>
          </w:tcPr>
          <w:p>
            <w:pPr>
              <w:jc w:val="left"/>
            </w:pPr>
            <w:r/>
            <w:r>
              <w:rPr>
                <w:rFonts w:ascii="微软雅黑" w:hAnsi="微软雅黑" w:eastAsia="微软雅黑"/>
                <w:color w:val="333333"/>
                <w:sz w:val="19"/>
              </w:rPr>
              <w:t>"超融合最大的优势就是部署简单。华为 FusionCube 出厂预装预配置，到现场通电连网即可用，3 节点集群从开箱到业务上线通常 2 小时内完成。对现有业务零影响，走 P2V 迁移即可。"</w:t>
            </w:r>
          </w:p>
        </w:tc>
      </w:tr>
      <w:tr>
        <w:tc>
          <w:tcPr>
            <w:tcW w:type="dxa" w:w="454"/>
          </w:tcPr>
          <w:p>
            <w:pPr>
              <w:jc w:val="left"/>
            </w:pPr>
            <w:r/>
            <w:r>
              <w:rPr>
                <w:rFonts w:ascii="微软雅黑" w:hAnsi="微软雅黑" w:eastAsia="微软雅黑"/>
                <w:color w:val="333333"/>
                <w:sz w:val="19"/>
              </w:rPr>
              <w:t>3</w:t>
            </w:r>
          </w:p>
        </w:tc>
        <w:tc>
          <w:tcPr>
            <w:tcW w:type="dxa" w:w="1984"/>
          </w:tcPr>
          <w:p>
            <w:pPr>
              <w:jc w:val="left"/>
            </w:pPr>
            <w:r/>
            <w:r>
              <w:rPr>
                <w:rFonts w:ascii="微软雅黑" w:hAnsi="微软雅黑" w:eastAsia="微软雅黑"/>
                <w:color w:val="333333"/>
                <w:sz w:val="19"/>
              </w:rPr>
              <w:t>价格怎么样？License 怎么算？</w:t>
            </w:r>
          </w:p>
        </w:tc>
        <w:tc>
          <w:tcPr>
            <w:tcW w:type="dxa" w:w="6520"/>
          </w:tcPr>
          <w:p>
            <w:pPr>
              <w:jc w:val="left"/>
            </w:pPr>
            <w:r/>
            <w:r>
              <w:rPr>
                <w:rFonts w:ascii="微软雅黑" w:hAnsi="微软雅黑" w:eastAsia="微软雅黑"/>
                <w:color w:val="333333"/>
                <w:sz w:val="19"/>
              </w:rPr>
              <w:t>"华为 FusionCube 按节点报价，包含硬件+软件 License+3年维保。3 节点入门配置约 30-50 万，相比 VMware 方案 TCO 可降低 30-40%。具体按您节点数和配置出详细报价。"</w:t>
            </w:r>
          </w:p>
        </w:tc>
      </w:tr>
      <w:tr>
        <w:tc>
          <w:tcPr>
            <w:tcW w:type="dxa" w:w="454"/>
            <w:shd w:fill="F2F6FC"/>
          </w:tcPr>
          <w:p>
            <w:pPr>
              <w:jc w:val="left"/>
            </w:pPr>
            <w:r/>
            <w:r>
              <w:rPr>
                <w:rFonts w:ascii="微软雅黑" w:hAnsi="微软雅黑" w:eastAsia="微软雅黑"/>
                <w:color w:val="333333"/>
                <w:sz w:val="19"/>
              </w:rPr>
              <w:t>4</w:t>
            </w:r>
          </w:p>
        </w:tc>
        <w:tc>
          <w:tcPr>
            <w:tcW w:type="dxa" w:w="1984"/>
            <w:shd w:fill="F2F6FC"/>
          </w:tcPr>
          <w:p>
            <w:pPr>
              <w:jc w:val="left"/>
            </w:pPr>
            <w:r/>
            <w:r>
              <w:rPr>
                <w:rFonts w:ascii="微软雅黑" w:hAnsi="微软雅黑" w:eastAsia="微软雅黑"/>
                <w:color w:val="333333"/>
                <w:sz w:val="19"/>
              </w:rPr>
              <w:t>后续运维需要几个人？需要什么技能？</w:t>
            </w:r>
          </w:p>
        </w:tc>
        <w:tc>
          <w:tcPr>
            <w:tcW w:type="dxa" w:w="6520"/>
            <w:shd w:fill="F2F6FC"/>
          </w:tcPr>
          <w:p>
            <w:pPr>
              <w:jc w:val="left"/>
            </w:pPr>
            <w:r/>
            <w:r>
              <w:rPr>
                <w:rFonts w:ascii="微软雅黑" w:hAnsi="微软雅黑" w:eastAsia="微软雅黑"/>
                <w:color w:val="333333"/>
                <w:sz w:val="19"/>
              </w:rPr>
              <w:t>"FusionCube Manager 提供统一图形化管理界面，日常运维 1 个人管 10+ 节点集群，不需要专业存储或虚拟化认证工程师。华为提供原厂培训（HCIA/HCIP）。"</w:t>
            </w:r>
          </w:p>
        </w:tc>
      </w:tr>
      <w:tr>
        <w:tc>
          <w:tcPr>
            <w:tcW w:type="dxa" w:w="454"/>
          </w:tcPr>
          <w:p>
            <w:pPr>
              <w:jc w:val="left"/>
            </w:pPr>
            <w:r/>
            <w:r>
              <w:rPr>
                <w:rFonts w:ascii="微软雅黑" w:hAnsi="微软雅黑" w:eastAsia="微软雅黑"/>
                <w:color w:val="333333"/>
                <w:sz w:val="19"/>
              </w:rPr>
              <w:t>5</w:t>
            </w:r>
          </w:p>
        </w:tc>
        <w:tc>
          <w:tcPr>
            <w:tcW w:type="dxa" w:w="1984"/>
          </w:tcPr>
          <w:p>
            <w:pPr>
              <w:jc w:val="left"/>
            </w:pPr>
            <w:r/>
            <w:r>
              <w:rPr>
                <w:rFonts w:ascii="微软雅黑" w:hAnsi="微软雅黑" w:eastAsia="微软雅黑"/>
                <w:color w:val="333333"/>
                <w:sz w:val="19"/>
              </w:rPr>
              <w:t>出了故障怎么办？响应时效如何？</w:t>
            </w:r>
          </w:p>
        </w:tc>
        <w:tc>
          <w:tcPr>
            <w:tcW w:type="dxa" w:w="6520"/>
          </w:tcPr>
          <w:p>
            <w:pPr>
              <w:jc w:val="left"/>
            </w:pPr>
            <w:r/>
            <w:r>
              <w:rPr>
                <w:rFonts w:ascii="微软雅黑" w:hAnsi="微软雅黑" w:eastAsia="微软雅黑"/>
                <w:color w:val="333333"/>
                <w:sz w:val="19"/>
              </w:rPr>
              <w:t>"华为 7x24 原厂技术支持，一线响应 &lt;30 分钟。硬件故障备件 4 小时到达（一二线城市）。此外提供驻场运维可选服务包。"</w:t>
            </w:r>
          </w:p>
        </w:tc>
      </w:tr>
    </w:tbl>
    <w:p/>
    <w:p>
      <w:pPr>
        <w:pStyle w:val="Heading2"/>
        <w:jc w:val="left"/>
      </w:pPr>
      <w:r>
        <w:rPr>
          <w:rFonts w:ascii="微软雅黑" w:hAnsi="微软雅黑" w:eastAsia="微软雅黑"/>
          <w:color w:val="2B579A"/>
          <w:sz w:val="28"/>
        </w:rPr>
        <w:t>基础架构品类定制问题</w:t>
      </w:r>
    </w:p>
    <w:tbl>
      <w:tblPr>
        <w:tblStyle w:val="TableGrid"/>
        <w:tblW w:type="auto" w:w="0"/>
        <w:jc w:val="center"/>
        <w:tblLook w:firstColumn="1" w:firstRow="1" w:lastColumn="0" w:lastRow="0" w:noHBand="0" w:noVBand="1" w:val="04A0"/>
      </w:tblPr>
      <w:tblGrid>
        <w:gridCol w:w="2882"/>
        <w:gridCol w:w="2882"/>
        <w:gridCol w:w="2882"/>
      </w:tblGrid>
      <w:tr>
        <w:tc>
          <w:tcPr>
            <w:tcW w:type="dxa" w:w="454"/>
            <w:shd w:fill="1A478A"/>
          </w:tcPr>
          <w:p>
            <w:pPr>
              <w:jc w:val="center"/>
            </w:pPr>
            <w:r/>
            <w:r>
              <w:rPr>
                <w:rFonts w:ascii="微软雅黑" w:hAnsi="微软雅黑" w:eastAsia="微软雅黑"/>
                <w:b/>
                <w:color w:val="FFFFFF"/>
                <w:sz w:val="20"/>
              </w:rPr>
              <w:t>#</w:t>
            </w:r>
          </w:p>
        </w:tc>
        <w:tc>
          <w:tcPr>
            <w:tcW w:type="dxa" w:w="1984"/>
            <w:shd w:fill="1A478A"/>
          </w:tcPr>
          <w:p>
            <w:pPr>
              <w:jc w:val="center"/>
            </w:pPr>
            <w:r/>
            <w:r>
              <w:rPr>
                <w:rFonts w:ascii="微软雅黑" w:hAnsi="微软雅黑" w:eastAsia="微软雅黑"/>
                <w:b/>
                <w:color w:val="FFFFFF"/>
                <w:sz w:val="20"/>
              </w:rPr>
              <w:t>客户问题</w:t>
            </w:r>
          </w:p>
        </w:tc>
        <w:tc>
          <w:tcPr>
            <w:tcW w:type="dxa" w:w="6520"/>
            <w:shd w:fill="1A478A"/>
          </w:tcPr>
          <w:p>
            <w:pPr>
              <w:jc w:val="center"/>
            </w:pPr>
            <w:r/>
            <w:r>
              <w:rPr>
                <w:rFonts w:ascii="微软雅黑" w:hAnsi="微软雅黑" w:eastAsia="微软雅黑"/>
                <w:b/>
                <w:color w:val="FFFFFF"/>
                <w:sz w:val="20"/>
              </w:rPr>
              <w:t>标准应答</w:t>
            </w:r>
          </w:p>
        </w:tc>
      </w:tr>
      <w:tr>
        <w:tc>
          <w:tcPr>
            <w:tcW w:type="dxa" w:w="454"/>
          </w:tcPr>
          <w:p>
            <w:pPr>
              <w:jc w:val="left"/>
            </w:pPr>
            <w:r/>
            <w:r>
              <w:rPr>
                <w:rFonts w:ascii="微软雅黑" w:hAnsi="微软雅黑" w:eastAsia="微软雅黑"/>
                <w:color w:val="333333"/>
                <w:sz w:val="19"/>
              </w:rPr>
              <w:t>6</w:t>
            </w:r>
          </w:p>
        </w:tc>
        <w:tc>
          <w:tcPr>
            <w:tcW w:type="dxa" w:w="1984"/>
          </w:tcPr>
          <w:p>
            <w:pPr>
              <w:jc w:val="left"/>
            </w:pPr>
            <w:r/>
            <w:r>
              <w:rPr>
                <w:rFonts w:ascii="微软雅黑" w:hAnsi="微软雅黑" w:eastAsia="微软雅黑"/>
                <w:color w:val="333333"/>
                <w:sz w:val="19"/>
              </w:rPr>
              <w:t>对现有虚拟化/OS/应用的兼容性如何？</w:t>
            </w:r>
          </w:p>
        </w:tc>
        <w:tc>
          <w:tcPr>
            <w:tcW w:type="dxa" w:w="6520"/>
          </w:tcPr>
          <w:p>
            <w:pPr>
              <w:jc w:val="left"/>
            </w:pPr>
            <w:r/>
            <w:r>
              <w:rPr>
                <w:rFonts w:ascii="微软雅黑" w:hAnsi="微软雅黑" w:eastAsia="微软雅黑"/>
                <w:color w:val="333333"/>
                <w:sz w:val="19"/>
              </w:rPr>
              <w:t>"FusionCube 基于 KVM，兼容主流 OS（Windows Server、麒麟、统信UOS、CentOS），支持 Oracle/MySQL/SQL Server 等主流数据库。华为有官方兼容性列表，95% 以上应用无需改造直接迁移。"</w:t>
            </w:r>
          </w:p>
        </w:tc>
      </w:tr>
      <w:tr>
        <w:tc>
          <w:tcPr>
            <w:tcW w:type="dxa" w:w="454"/>
            <w:shd w:fill="F2F6FC"/>
          </w:tcPr>
          <w:p>
            <w:pPr>
              <w:jc w:val="left"/>
            </w:pPr>
            <w:r/>
            <w:r>
              <w:rPr>
                <w:rFonts w:ascii="微软雅黑" w:hAnsi="微软雅黑" w:eastAsia="微软雅黑"/>
                <w:color w:val="333333"/>
                <w:sz w:val="19"/>
              </w:rPr>
              <w:t>7</w:t>
            </w:r>
          </w:p>
        </w:tc>
        <w:tc>
          <w:tcPr>
            <w:tcW w:type="dxa" w:w="1984"/>
            <w:shd w:fill="F2F6FC"/>
          </w:tcPr>
          <w:p>
            <w:pPr>
              <w:jc w:val="left"/>
            </w:pPr>
            <w:r/>
            <w:r>
              <w:rPr>
                <w:rFonts w:ascii="微软雅黑" w:hAnsi="微软雅黑" w:eastAsia="微软雅黑"/>
                <w:color w:val="333333"/>
                <w:sz w:val="19"/>
              </w:rPr>
              <w:t>扩容怎么扩？是线性扩展吗？有没有瓶颈？</w:t>
            </w:r>
          </w:p>
        </w:tc>
        <w:tc>
          <w:tcPr>
            <w:tcW w:type="dxa" w:w="6520"/>
            <w:shd w:fill="F2F6FC"/>
          </w:tcPr>
          <w:p>
            <w:pPr>
              <w:jc w:val="left"/>
            </w:pPr>
            <w:r/>
            <w:r>
              <w:rPr>
                <w:rFonts w:ascii="微软雅黑" w:hAnsi="微软雅黑" w:eastAsia="微软雅黑"/>
                <w:color w:val="333333"/>
                <w:sz w:val="19"/>
              </w:rPr>
              <w:t>"按节点线性扩展，增加节点即增加计算和存储资源。单一集群最大支持 100+ 节点。分布式存储无单点瓶颈，EC纠删码保证数据可靠性。"</w:t>
            </w:r>
          </w:p>
        </w:tc>
      </w:tr>
      <w:tr>
        <w:tc>
          <w:tcPr>
            <w:tcW w:type="dxa" w:w="454"/>
          </w:tcPr>
          <w:p>
            <w:pPr>
              <w:jc w:val="left"/>
            </w:pPr>
            <w:r/>
            <w:r>
              <w:rPr>
                <w:rFonts w:ascii="微软雅黑" w:hAnsi="微软雅黑" w:eastAsia="微软雅黑"/>
                <w:color w:val="333333"/>
                <w:sz w:val="19"/>
              </w:rPr>
              <w:t>8</w:t>
            </w:r>
          </w:p>
        </w:tc>
        <w:tc>
          <w:tcPr>
            <w:tcW w:type="dxa" w:w="1984"/>
          </w:tcPr>
          <w:p>
            <w:pPr>
              <w:jc w:val="left"/>
            </w:pPr>
            <w:r/>
            <w:r>
              <w:rPr>
                <w:rFonts w:ascii="微软雅黑" w:hAnsi="微软雅黑" w:eastAsia="微软雅黑"/>
                <w:color w:val="333333"/>
                <w:sz w:val="19"/>
              </w:rPr>
              <w:t>数据迁移怎么做？业务能停吗？</w:t>
            </w:r>
          </w:p>
        </w:tc>
        <w:tc>
          <w:tcPr>
            <w:tcW w:type="dxa" w:w="6520"/>
          </w:tcPr>
          <w:p>
            <w:pPr>
              <w:jc w:val="left"/>
            </w:pPr>
            <w:r/>
            <w:r>
              <w:rPr>
                <w:rFonts w:ascii="微软雅黑" w:hAnsi="微软雅黑" w:eastAsia="微软雅黑"/>
                <w:color w:val="333333"/>
                <w:sz w:val="19"/>
              </w:rPr>
              <w:t>"华为 Rainbow 迁移工具支持 P2V/V2V 在线热迁移，业务无需停机。支持从 VMware/Hyper-V/其他超融合平台迁移。典型 10TB 数据可在周末窗口完成。"</w:t>
            </w:r>
          </w:p>
        </w:tc>
      </w:tr>
      <w:tr>
        <w:tc>
          <w:tcPr>
            <w:tcW w:type="dxa" w:w="454"/>
            <w:shd w:fill="F2F6FC"/>
          </w:tcPr>
          <w:p>
            <w:pPr>
              <w:jc w:val="left"/>
            </w:pPr>
            <w:r/>
            <w:r>
              <w:rPr>
                <w:rFonts w:ascii="微软雅黑" w:hAnsi="微软雅黑" w:eastAsia="微软雅黑"/>
                <w:color w:val="333333"/>
                <w:sz w:val="19"/>
              </w:rPr>
              <w:t>9</w:t>
            </w:r>
          </w:p>
        </w:tc>
        <w:tc>
          <w:tcPr>
            <w:tcW w:type="dxa" w:w="1984"/>
            <w:shd w:fill="F2F6FC"/>
          </w:tcPr>
          <w:p>
            <w:pPr>
              <w:jc w:val="left"/>
            </w:pPr>
            <w:r/>
            <w:r>
              <w:rPr>
                <w:rFonts w:ascii="微软雅黑" w:hAnsi="微软雅黑" w:eastAsia="微软雅黑"/>
                <w:color w:val="333333"/>
                <w:sz w:val="19"/>
              </w:rPr>
              <w:t>售后服务？本地有备件吗？</w:t>
            </w:r>
          </w:p>
        </w:tc>
        <w:tc>
          <w:tcPr>
            <w:tcW w:type="dxa" w:w="6520"/>
            <w:shd w:fill="F2F6FC"/>
          </w:tcPr>
          <w:p>
            <w:pPr>
              <w:jc w:val="left"/>
            </w:pPr>
            <w:r/>
            <w:r>
              <w:rPr>
                <w:rFonts w:ascii="微软雅黑" w:hAnsi="微软雅黑" w:eastAsia="微软雅黑"/>
                <w:color w:val="333333"/>
                <w:sz w:val="19"/>
              </w:rPr>
              <w:t>"标准 3 年原厂维保，含硬件更换+软件升级。全国省会城市备件中心，4 小时到场。可延保至 5 年。众云网提供本地化+原厂双重服务。"</w:t>
            </w:r>
          </w:p>
        </w:tc>
      </w:tr>
      <w:tr>
        <w:tc>
          <w:tcPr>
            <w:tcW w:type="dxa" w:w="454"/>
          </w:tcPr>
          <w:p>
            <w:pPr>
              <w:jc w:val="left"/>
            </w:pPr>
            <w:r/>
            <w:r>
              <w:rPr>
                <w:rFonts w:ascii="微软雅黑" w:hAnsi="微软雅黑" w:eastAsia="微软雅黑"/>
                <w:color w:val="333333"/>
                <w:sz w:val="19"/>
              </w:rPr>
              <w:t>10</w:t>
            </w:r>
          </w:p>
        </w:tc>
        <w:tc>
          <w:tcPr>
            <w:tcW w:type="dxa" w:w="1984"/>
          </w:tcPr>
          <w:p>
            <w:pPr>
              <w:jc w:val="left"/>
            </w:pPr>
            <w:r/>
            <w:r>
              <w:rPr>
                <w:rFonts w:ascii="微软雅黑" w:hAnsi="微软雅黑" w:eastAsia="微软雅黑"/>
                <w:color w:val="333333"/>
                <w:sz w:val="19"/>
              </w:rPr>
              <w:t>TCO 对比现有方案能省多少？</w:t>
            </w:r>
          </w:p>
        </w:tc>
        <w:tc>
          <w:tcPr>
            <w:tcW w:type="dxa" w:w="6520"/>
          </w:tcPr>
          <w:p>
            <w:pPr>
              <w:jc w:val="left"/>
            </w:pPr>
            <w:r/>
            <w:r>
              <w:rPr>
                <w:rFonts w:ascii="微软雅黑" w:hAnsi="微软雅黑" w:eastAsia="微软雅黑"/>
                <w:color w:val="333333"/>
                <w:sz w:val="19"/>
              </w:rPr>
              <w:t>"以 10 节点规模对比传统架构（服务器+SAN存储+交换机），3 年 TCO：传统约 200-250 万，FusionCube 约 120-160 万，节省 35-40%。集成部署成本减 80%、运维人力减 50%、空间电力减 30%。"</w:t>
            </w:r>
          </w:p>
        </w:tc>
      </w:tr>
    </w:tbl>
    <w:p/>
    <w:p>
      <w:pPr>
        <w:spacing w:before="80"/>
      </w:pPr>
      <w:r>
        <w:rPr>
          <w:rFonts w:ascii="微软雅黑" w:hAnsi="微软雅黑" w:eastAsia="微软雅黑"/>
          <w:i/>
          <w:color w:val="E86A17"/>
          <w:sz w:val="19"/>
        </w:rPr>
        <w:t>📌 售前要点：回答 FAQ 时记住"先接住再转弯"——先认同客户关切（"这个问题问得很好"），再给出专业回应。</w:t>
      </w:r>
    </w:p>
    <w:p>
      <w:r>
        <w:br w:type="page"/>
      </w:r>
    </w:p>
    <w:p>
      <w:pPr>
        <w:pStyle w:val="Heading1"/>
        <w:jc w:val="left"/>
      </w:pPr>
      <w:r>
        <w:rPr>
          <w:rFonts w:ascii="微软雅黑" w:hAnsi="微软雅黑" w:eastAsia="微软雅黑"/>
          <w:color w:val="1A478A"/>
          <w:sz w:val="36"/>
        </w:rPr>
        <w:t>模块 7：竞品矩阵</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417"/>
            <w:shd w:fill="1A478A"/>
          </w:tcPr>
          <w:p>
            <w:pPr>
              <w:jc w:val="center"/>
            </w:pPr>
            <w:r/>
            <w:r>
              <w:rPr>
                <w:rFonts w:ascii="微软雅黑" w:hAnsi="微软雅黑" w:eastAsia="微软雅黑"/>
                <w:b/>
                <w:color w:val="FFFFFF"/>
                <w:sz w:val="20"/>
              </w:rPr>
              <w:t>维度</w:t>
            </w:r>
          </w:p>
        </w:tc>
        <w:tc>
          <w:tcPr>
            <w:tcW w:type="dxa" w:w="1020"/>
            <w:shd w:fill="1A478A"/>
          </w:tcPr>
          <w:p>
            <w:pPr>
              <w:jc w:val="center"/>
            </w:pPr>
            <w:r/>
            <w:r>
              <w:rPr>
                <w:rFonts w:ascii="微软雅黑" w:hAnsi="微软雅黑" w:eastAsia="微软雅黑"/>
                <w:b/>
                <w:color w:val="FFFFFF"/>
                <w:sz w:val="20"/>
              </w:rPr>
              <w:t>权重</w:t>
            </w:r>
          </w:p>
        </w:tc>
        <w:tc>
          <w:tcPr>
            <w:tcW w:type="dxa" w:w="1417"/>
            <w:shd w:fill="1A478A"/>
          </w:tcPr>
          <w:p>
            <w:pPr>
              <w:jc w:val="center"/>
            </w:pPr>
            <w:r/>
            <w:r>
              <w:rPr>
                <w:rFonts w:ascii="微软雅黑" w:hAnsi="微软雅黑" w:eastAsia="微软雅黑"/>
                <w:b/>
                <w:color w:val="FFFFFF"/>
                <w:sz w:val="20"/>
              </w:rPr>
              <w:t>华为 FusionCube</w:t>
            </w:r>
          </w:p>
        </w:tc>
        <w:tc>
          <w:tcPr>
            <w:tcW w:type="dxa" w:w="1417"/>
            <w:shd w:fill="1A478A"/>
          </w:tcPr>
          <w:p>
            <w:pPr>
              <w:jc w:val="center"/>
            </w:pPr>
            <w:r/>
            <w:r>
              <w:rPr>
                <w:rFonts w:ascii="微软雅黑" w:hAnsi="微软雅黑" w:eastAsia="微软雅黑"/>
                <w:b/>
                <w:color w:val="FFFFFF"/>
                <w:sz w:val="20"/>
              </w:rPr>
              <w:t>深信服 HCI</w:t>
            </w:r>
          </w:p>
        </w:tc>
        <w:tc>
          <w:tcPr>
            <w:tcW w:type="dxa" w:w="1417"/>
            <w:shd w:fill="1A478A"/>
          </w:tcPr>
          <w:p>
            <w:pPr>
              <w:jc w:val="center"/>
            </w:pPr>
            <w:r/>
            <w:r>
              <w:rPr>
                <w:rFonts w:ascii="微软雅黑" w:hAnsi="微软雅黑" w:eastAsia="微软雅黑"/>
                <w:b/>
                <w:color w:val="FFFFFF"/>
                <w:sz w:val="20"/>
              </w:rPr>
              <w:t>新华三 UIS</w:t>
            </w:r>
          </w:p>
        </w:tc>
        <w:tc>
          <w:tcPr>
            <w:tcW w:type="dxa" w:w="1417"/>
            <w:shd w:fill="1A478A"/>
          </w:tcPr>
          <w:p>
            <w:pPr>
              <w:jc w:val="center"/>
            </w:pPr>
            <w:r/>
            <w:r>
              <w:rPr>
                <w:rFonts w:ascii="微软雅黑" w:hAnsi="微软雅黑" w:eastAsia="微软雅黑"/>
                <w:b/>
                <w:color w:val="FFFFFF"/>
                <w:sz w:val="20"/>
              </w:rPr>
              <w:t>SmartX</w:t>
            </w:r>
          </w:p>
        </w:tc>
        <w:tc>
          <w:tcPr>
            <w:tcW w:type="dxa" w:w="1417"/>
            <w:shd w:fill="1A478A"/>
          </w:tcPr>
          <w:p>
            <w:pPr>
              <w:jc w:val="center"/>
            </w:pPr>
            <w:r/>
            <w:r>
              <w:rPr>
                <w:rFonts w:ascii="微软雅黑" w:hAnsi="微软雅黑" w:eastAsia="微软雅黑"/>
                <w:b/>
                <w:color w:val="FFFFFF"/>
                <w:sz w:val="20"/>
              </w:rPr>
              <w:t>VMware vSAN</w:t>
            </w:r>
          </w:p>
        </w:tc>
      </w:tr>
      <w:tr>
        <w:tc>
          <w:tcPr>
            <w:tcW w:type="dxa" w:w="1417"/>
          </w:tcPr>
          <w:p>
            <w:pPr>
              <w:jc w:val="left"/>
            </w:pPr>
            <w:r/>
            <w:r>
              <w:rPr>
                <w:rFonts w:ascii="微软雅黑" w:hAnsi="微软雅黑" w:eastAsia="微软雅黑"/>
                <w:color w:val="333333"/>
                <w:sz w:val="19"/>
              </w:rPr>
              <w:t>性能指标</w:t>
            </w:r>
          </w:p>
        </w:tc>
        <w:tc>
          <w:tcPr>
            <w:tcW w:type="dxa" w:w="1020"/>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r>
      <w:tr>
        <w:tc>
          <w:tcPr>
            <w:tcW w:type="dxa" w:w="1417"/>
            <w:shd w:fill="F2F6FC"/>
          </w:tcPr>
          <w:p>
            <w:pPr>
              <w:jc w:val="left"/>
            </w:pPr>
            <w:r/>
            <w:r>
              <w:rPr>
                <w:rFonts w:ascii="微软雅黑" w:hAnsi="微软雅黑" w:eastAsia="微软雅黑"/>
                <w:color w:val="333333"/>
                <w:sz w:val="19"/>
              </w:rPr>
              <w:t>稳定性/可靠性</w:t>
            </w:r>
          </w:p>
        </w:tc>
        <w:tc>
          <w:tcPr>
            <w:tcW w:type="dxa" w:w="1020"/>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r>
      <w:tr>
        <w:tc>
          <w:tcPr>
            <w:tcW w:type="dxa" w:w="1417"/>
          </w:tcPr>
          <w:p>
            <w:pPr>
              <w:jc w:val="left"/>
            </w:pPr>
            <w:r/>
            <w:r>
              <w:rPr>
                <w:rFonts w:ascii="微软雅黑" w:hAnsi="微软雅黑" w:eastAsia="微软雅黑"/>
                <w:color w:val="333333"/>
                <w:sz w:val="19"/>
              </w:rPr>
              <w:t>部署复杂度</w:t>
            </w:r>
          </w:p>
        </w:tc>
        <w:tc>
          <w:tcPr>
            <w:tcW w:type="dxa" w:w="1020"/>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r>
      <w:tr>
        <w:tc>
          <w:tcPr>
            <w:tcW w:type="dxa" w:w="1417"/>
            <w:shd w:fill="F2F6FC"/>
          </w:tcPr>
          <w:p>
            <w:pPr>
              <w:jc w:val="left"/>
            </w:pPr>
            <w:r/>
            <w:r>
              <w:rPr>
                <w:rFonts w:ascii="微软雅黑" w:hAnsi="微软雅黑" w:eastAsia="微软雅黑"/>
                <w:color w:val="333333"/>
                <w:sz w:val="19"/>
              </w:rPr>
              <w:t>生态兼容性</w:t>
            </w:r>
          </w:p>
        </w:tc>
        <w:tc>
          <w:tcPr>
            <w:tcW w:type="dxa" w:w="1020"/>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r>
      <w:tr>
        <w:tc>
          <w:tcPr>
            <w:tcW w:type="dxa" w:w="1417"/>
          </w:tcPr>
          <w:p>
            <w:pPr>
              <w:jc w:val="left"/>
            </w:pPr>
            <w:r/>
            <w:r>
              <w:rPr>
                <w:rFonts w:ascii="微软雅黑" w:hAnsi="微软雅黑" w:eastAsia="微软雅黑"/>
                <w:color w:val="333333"/>
                <w:sz w:val="19"/>
              </w:rPr>
              <w:t>价格竞争力</w:t>
            </w:r>
          </w:p>
        </w:tc>
        <w:tc>
          <w:tcPr>
            <w:tcW w:type="dxa" w:w="1020"/>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r>
      <w:tr>
        <w:tc>
          <w:tcPr>
            <w:tcW w:type="dxa" w:w="1417"/>
            <w:shd w:fill="F2F6FC"/>
          </w:tcPr>
          <w:p>
            <w:pPr>
              <w:jc w:val="left"/>
            </w:pPr>
            <w:r/>
            <w:r>
              <w:rPr>
                <w:rFonts w:ascii="微软雅黑" w:hAnsi="微软雅黑" w:eastAsia="微软雅黑"/>
                <w:color w:val="333333"/>
                <w:sz w:val="19"/>
              </w:rPr>
              <w:t>本地化服务</w:t>
            </w:r>
          </w:p>
        </w:tc>
        <w:tc>
          <w:tcPr>
            <w:tcW w:type="dxa" w:w="1020"/>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r>
      <w:tr>
        <w:tc>
          <w:tcPr>
            <w:tcW w:type="dxa" w:w="1417"/>
          </w:tcPr>
          <w:p>
            <w:pPr>
              <w:jc w:val="left"/>
            </w:pPr>
            <w:r/>
            <w:r>
              <w:rPr>
                <w:rFonts w:ascii="微软雅黑" w:hAnsi="微软雅黑" w:eastAsia="微软雅黑"/>
                <w:color w:val="333333"/>
                <w:sz w:val="19"/>
              </w:rPr>
              <w:t>信创能力</w:t>
            </w:r>
          </w:p>
        </w:tc>
        <w:tc>
          <w:tcPr>
            <w:tcW w:type="dxa" w:w="1020"/>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c>
          <w:tcPr>
            <w:tcW w:type="dxa" w:w="1417"/>
          </w:tcPr>
          <w:p>
            <w:pPr>
              <w:jc w:val="left"/>
            </w:pPr>
            <w:r/>
            <w:r>
              <w:rPr>
                <w:rFonts w:ascii="微软雅黑" w:hAnsi="微软雅黑" w:eastAsia="微软雅黑"/>
                <w:color w:val="333333"/>
                <w:sz w:val="19"/>
              </w:rPr>
              <w:t>★☆☆☆☆</w:t>
            </w:r>
          </w:p>
        </w:tc>
      </w:tr>
      <w:tr>
        <w:tc>
          <w:tcPr>
            <w:tcW w:type="dxa" w:w="1417"/>
            <w:shd w:fill="F2F6FC"/>
          </w:tcPr>
          <w:p>
            <w:pPr>
              <w:jc w:val="left"/>
            </w:pPr>
            <w:r/>
            <w:r>
              <w:rPr>
                <w:rFonts w:ascii="微软雅黑" w:hAnsi="微软雅黑" w:eastAsia="微软雅黑"/>
                <w:color w:val="333333"/>
                <w:sz w:val="19"/>
              </w:rPr>
              <w:t>运维管理</w:t>
            </w:r>
          </w:p>
        </w:tc>
        <w:tc>
          <w:tcPr>
            <w:tcW w:type="dxa" w:w="1020"/>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c>
          <w:tcPr>
            <w:tcW w:type="dxa" w:w="1417"/>
            <w:shd w:fill="F2F6FC"/>
          </w:tcPr>
          <w:p>
            <w:pPr>
              <w:jc w:val="left"/>
            </w:pPr>
            <w:r/>
            <w:r>
              <w:rPr>
                <w:rFonts w:ascii="微软雅黑" w:hAnsi="微软雅黑" w:eastAsia="微软雅黑"/>
                <w:color w:val="333333"/>
                <w:sz w:val="19"/>
              </w:rPr>
              <w:t>★★★☆☆</w:t>
            </w:r>
          </w:p>
        </w:tc>
      </w:tr>
    </w:tbl>
    <w:p/>
    <w:p>
      <w:pPr>
        <w:pStyle w:val="Heading2"/>
        <w:jc w:val="left"/>
      </w:pPr>
      <w:r>
        <w:rPr>
          <w:rFonts w:ascii="微软雅黑" w:hAnsi="微软雅黑" w:eastAsia="微软雅黑"/>
          <w:color w:val="2B579A"/>
          <w:sz w:val="28"/>
        </w:rPr>
        <w:t>竞争话术策略</w:t>
      </w:r>
    </w:p>
    <w:tbl>
      <w:tblPr>
        <w:tblStyle w:val="TableGrid"/>
        <w:tblW w:type="auto" w:w="0"/>
        <w:jc w:val="center"/>
        <w:tblLook w:firstColumn="1" w:firstRow="1" w:lastColumn="0" w:lastRow="0" w:noHBand="0" w:noVBand="1" w:val="04A0"/>
      </w:tblPr>
      <w:tblGrid>
        <w:gridCol w:w="2882"/>
        <w:gridCol w:w="2882"/>
        <w:gridCol w:w="2882"/>
      </w:tblGrid>
      <w:tr>
        <w:tc>
          <w:tcPr>
            <w:tcW w:type="dxa" w:w="1417"/>
            <w:shd w:fill="1A478A"/>
          </w:tcPr>
          <w:p>
            <w:pPr>
              <w:jc w:val="center"/>
            </w:pPr>
            <w:r/>
            <w:r>
              <w:rPr>
                <w:rFonts w:ascii="微软雅黑" w:hAnsi="微软雅黑" w:eastAsia="微软雅黑"/>
                <w:b/>
                <w:color w:val="FFFFFF"/>
                <w:sz w:val="20"/>
              </w:rPr>
              <w:t>面对竞品</w:t>
            </w:r>
          </w:p>
        </w:tc>
        <w:tc>
          <w:tcPr>
            <w:tcW w:type="dxa" w:w="1984"/>
            <w:shd w:fill="1A478A"/>
          </w:tcPr>
          <w:p>
            <w:pPr>
              <w:jc w:val="center"/>
            </w:pPr>
            <w:r/>
            <w:r>
              <w:rPr>
                <w:rFonts w:ascii="微软雅黑" w:hAnsi="微软雅黑" w:eastAsia="微软雅黑"/>
                <w:b/>
                <w:color w:val="FFFFFF"/>
                <w:sz w:val="20"/>
              </w:rPr>
              <w:t>应对策略</w:t>
            </w:r>
          </w:p>
        </w:tc>
        <w:tc>
          <w:tcPr>
            <w:tcW w:type="dxa" w:w="5669"/>
            <w:shd w:fill="1A478A"/>
          </w:tcPr>
          <w:p>
            <w:pPr>
              <w:jc w:val="center"/>
            </w:pPr>
            <w:r/>
            <w:r>
              <w:rPr>
                <w:rFonts w:ascii="微软雅黑" w:hAnsi="微软雅黑" w:eastAsia="微软雅黑"/>
                <w:b/>
                <w:color w:val="FFFFFF"/>
                <w:sz w:val="20"/>
              </w:rPr>
              <w:t>话术要点</w:t>
            </w:r>
          </w:p>
        </w:tc>
      </w:tr>
      <w:tr>
        <w:tc>
          <w:tcPr>
            <w:tcW w:type="dxa" w:w="1417"/>
          </w:tcPr>
          <w:p>
            <w:pPr>
              <w:jc w:val="left"/>
            </w:pPr>
            <w:r/>
            <w:r>
              <w:rPr>
                <w:rFonts w:ascii="微软雅黑" w:hAnsi="微软雅黑" w:eastAsia="微软雅黑"/>
                <w:color w:val="333333"/>
                <w:sz w:val="19"/>
              </w:rPr>
              <w:t>深信服 HCI</w:t>
            </w:r>
          </w:p>
        </w:tc>
        <w:tc>
          <w:tcPr>
            <w:tcW w:type="dxa" w:w="1984"/>
          </w:tcPr>
          <w:p>
            <w:pPr>
              <w:jc w:val="left"/>
            </w:pPr>
            <w:r/>
            <w:r>
              <w:rPr>
                <w:rFonts w:ascii="微软雅黑" w:hAnsi="微软雅黑" w:eastAsia="微软雅黑"/>
                <w:color w:val="333333"/>
                <w:sz w:val="19"/>
              </w:rPr>
              <w:t>向上覆盖策略</w:t>
            </w:r>
          </w:p>
        </w:tc>
        <w:tc>
          <w:tcPr>
            <w:tcW w:type="dxa" w:w="5669"/>
          </w:tcPr>
          <w:p>
            <w:pPr>
              <w:jc w:val="left"/>
            </w:pPr>
            <w:r/>
            <w:r>
              <w:rPr>
                <w:rFonts w:ascii="微软雅黑" w:hAnsi="微软雅黑" w:eastAsia="微软雅黑"/>
                <w:color w:val="333333"/>
                <w:sz w:val="19"/>
              </w:rPr>
              <w:t>"深信服 HCI 在中小规模场景性价比很好，但华为在大规模集群、关键业务承载、信创全栈适配方面更成熟"</w:t>
            </w:r>
          </w:p>
        </w:tc>
      </w:tr>
      <w:tr>
        <w:tc>
          <w:tcPr>
            <w:tcW w:type="dxa" w:w="1417"/>
            <w:shd w:fill="F2F6FC"/>
          </w:tcPr>
          <w:p>
            <w:pPr>
              <w:jc w:val="left"/>
            </w:pPr>
            <w:r/>
            <w:r>
              <w:rPr>
                <w:rFonts w:ascii="微软雅黑" w:hAnsi="微软雅黑" w:eastAsia="微软雅黑"/>
                <w:color w:val="333333"/>
                <w:sz w:val="19"/>
              </w:rPr>
              <w:t>新华三 UIS</w:t>
            </w:r>
          </w:p>
        </w:tc>
        <w:tc>
          <w:tcPr>
            <w:tcW w:type="dxa" w:w="1984"/>
            <w:shd w:fill="F2F6FC"/>
          </w:tcPr>
          <w:p>
            <w:pPr>
              <w:jc w:val="left"/>
            </w:pPr>
            <w:r/>
            <w:r>
              <w:rPr>
                <w:rFonts w:ascii="微软雅黑" w:hAnsi="微软雅黑" w:eastAsia="微软雅黑"/>
                <w:color w:val="333333"/>
                <w:sz w:val="19"/>
              </w:rPr>
              <w:t>全栈能力对等竞争</w:t>
            </w:r>
          </w:p>
        </w:tc>
        <w:tc>
          <w:tcPr>
            <w:tcW w:type="dxa" w:w="5669"/>
            <w:shd w:fill="F2F6FC"/>
          </w:tcPr>
          <w:p>
            <w:pPr>
              <w:jc w:val="left"/>
            </w:pPr>
            <w:r/>
            <w:r>
              <w:rPr>
                <w:rFonts w:ascii="微软雅黑" w:hAnsi="微软雅黑" w:eastAsia="微软雅黑"/>
                <w:color w:val="333333"/>
                <w:sz w:val="19"/>
              </w:rPr>
              <w:t>"新华三 UIS 也不错，但华为在鲲鹏芯片自研深度、分布式存储性能、AI 运维方面更有优势"</w:t>
            </w:r>
          </w:p>
        </w:tc>
      </w:tr>
      <w:tr>
        <w:tc>
          <w:tcPr>
            <w:tcW w:type="dxa" w:w="1417"/>
          </w:tcPr>
          <w:p>
            <w:pPr>
              <w:jc w:val="left"/>
            </w:pPr>
            <w:r/>
            <w:r>
              <w:rPr>
                <w:rFonts w:ascii="微软雅黑" w:hAnsi="微软雅黑" w:eastAsia="微软雅黑"/>
                <w:color w:val="333333"/>
                <w:sz w:val="19"/>
              </w:rPr>
              <w:t>SmartX</w:t>
            </w:r>
          </w:p>
        </w:tc>
        <w:tc>
          <w:tcPr>
            <w:tcW w:type="dxa" w:w="1984"/>
          </w:tcPr>
          <w:p>
            <w:pPr>
              <w:jc w:val="left"/>
            </w:pPr>
            <w:r/>
            <w:r>
              <w:rPr>
                <w:rFonts w:ascii="微软雅黑" w:hAnsi="微软雅黑" w:eastAsia="微软雅黑"/>
                <w:color w:val="333333"/>
                <w:sz w:val="19"/>
              </w:rPr>
              <w:t>品牌信任度压制</w:t>
            </w:r>
          </w:p>
        </w:tc>
        <w:tc>
          <w:tcPr>
            <w:tcW w:type="dxa" w:w="5669"/>
          </w:tcPr>
          <w:p>
            <w:pPr>
              <w:jc w:val="left"/>
            </w:pPr>
            <w:r/>
            <w:r>
              <w:rPr>
                <w:rFonts w:ascii="微软雅黑" w:hAnsi="微软雅黑" w:eastAsia="微软雅黑"/>
                <w:color w:val="333333"/>
                <w:sz w:val="19"/>
              </w:rPr>
              <w:t>"SmartX 技术不错，但华为的品牌、服务网络、生态兼容性在大中型客户中信任度更高"</w:t>
            </w:r>
          </w:p>
        </w:tc>
      </w:tr>
      <w:tr>
        <w:tc>
          <w:tcPr>
            <w:tcW w:type="dxa" w:w="1417"/>
            <w:shd w:fill="F2F6FC"/>
          </w:tcPr>
          <w:p>
            <w:pPr>
              <w:jc w:val="left"/>
            </w:pPr>
            <w:r/>
            <w:r>
              <w:rPr>
                <w:rFonts w:ascii="微软雅黑" w:hAnsi="微软雅黑" w:eastAsia="微软雅黑"/>
                <w:color w:val="333333"/>
                <w:sz w:val="19"/>
              </w:rPr>
              <w:t>VMware vSAN</w:t>
            </w:r>
          </w:p>
        </w:tc>
        <w:tc>
          <w:tcPr>
            <w:tcW w:type="dxa" w:w="1984"/>
            <w:shd w:fill="F2F6FC"/>
          </w:tcPr>
          <w:p>
            <w:pPr>
              <w:jc w:val="left"/>
            </w:pPr>
            <w:r/>
            <w:r>
              <w:rPr>
                <w:rFonts w:ascii="微软雅黑" w:hAnsi="微软雅黑" w:eastAsia="微软雅黑"/>
                <w:color w:val="333333"/>
                <w:sz w:val="19"/>
              </w:rPr>
              <w:t>TCO + 信创夹击</w:t>
            </w:r>
          </w:p>
        </w:tc>
        <w:tc>
          <w:tcPr>
            <w:tcW w:type="dxa" w:w="5669"/>
            <w:shd w:fill="F2F6FC"/>
          </w:tcPr>
          <w:p>
            <w:pPr>
              <w:jc w:val="left"/>
            </w:pPr>
            <w:r/>
            <w:r>
              <w:rPr>
                <w:rFonts w:ascii="微软雅黑" w:hAnsi="微软雅黑" w:eastAsia="微软雅黑"/>
                <w:color w:val="333333"/>
                <w:sz w:val="19"/>
              </w:rPr>
              <w:t>"Broadcom 收购后授权成本大涨，且没有信创方案。华为 TCO 更低，一步到位满足国产化"</w:t>
            </w:r>
          </w:p>
        </w:tc>
      </w:tr>
    </w:tbl>
    <w:p/>
    <w:p>
      <w:pPr>
        <w:spacing w:before="80"/>
      </w:pPr>
      <w:r>
        <w:rPr>
          <w:rFonts w:ascii="微软雅黑" w:hAnsi="微软雅黑" w:eastAsia="微软雅黑"/>
          <w:i/>
          <w:color w:val="E86A17"/>
          <w:sz w:val="19"/>
        </w:rPr>
        <w:t>📌 售前核心原则：永远不要直接贬低竞品。说"我们在 XX 方面做得更好"，而不是"他们 XX 方面很差"。</w:t>
      </w:r>
    </w:p>
    <w:p>
      <w:r>
        <w:br w:type="page"/>
      </w:r>
    </w:p>
    <w:p>
      <w:pPr>
        <w:pStyle w:val="Heading1"/>
        <w:jc w:val="left"/>
      </w:pPr>
      <w:r>
        <w:rPr>
          <w:rFonts w:ascii="微软雅黑" w:hAnsi="微软雅黑" w:eastAsia="微软雅黑"/>
          <w:color w:val="1A478A"/>
          <w:sz w:val="36"/>
        </w:rPr>
        <w:t>模块 8：行业场景映射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134"/>
            <w:shd w:fill="1A478A"/>
          </w:tcPr>
          <w:p>
            <w:pPr>
              <w:jc w:val="center"/>
            </w:pPr>
            <w:r/>
            <w:r>
              <w:rPr>
                <w:rFonts w:ascii="微软雅黑" w:hAnsi="微软雅黑" w:eastAsia="微软雅黑"/>
                <w:b/>
                <w:color w:val="FFFFFF"/>
                <w:sz w:val="20"/>
              </w:rPr>
              <w:t>行业</w:t>
            </w:r>
          </w:p>
        </w:tc>
        <w:tc>
          <w:tcPr>
            <w:tcW w:type="dxa" w:w="2268"/>
            <w:shd w:fill="1A478A"/>
          </w:tcPr>
          <w:p>
            <w:pPr>
              <w:jc w:val="center"/>
            </w:pPr>
            <w:r/>
            <w:r>
              <w:rPr>
                <w:rFonts w:ascii="微软雅黑" w:hAnsi="微软雅黑" w:eastAsia="微软雅黑"/>
                <w:b/>
                <w:color w:val="FFFFFF"/>
                <w:sz w:val="20"/>
              </w:rPr>
              <w:t>典型痛点</w:t>
            </w:r>
          </w:p>
        </w:tc>
        <w:tc>
          <w:tcPr>
            <w:tcW w:type="dxa" w:w="2551"/>
            <w:shd w:fill="1A478A"/>
          </w:tcPr>
          <w:p>
            <w:pPr>
              <w:jc w:val="center"/>
            </w:pPr>
            <w:r/>
            <w:r>
              <w:rPr>
                <w:rFonts w:ascii="微软雅黑" w:hAnsi="微软雅黑" w:eastAsia="微软雅黑"/>
                <w:b/>
                <w:color w:val="FFFFFF"/>
                <w:sz w:val="20"/>
              </w:rPr>
              <w:t>FusionCube 的价值点</w:t>
            </w:r>
          </w:p>
        </w:tc>
        <w:tc>
          <w:tcPr>
            <w:tcW w:type="dxa" w:w="3118"/>
            <w:shd w:fill="1A478A"/>
          </w:tcPr>
          <w:p>
            <w:pPr>
              <w:jc w:val="center"/>
            </w:pPr>
            <w:r/>
            <w:r>
              <w:rPr>
                <w:rFonts w:ascii="微软雅黑" w:hAnsi="微软雅黑" w:eastAsia="微软雅黑"/>
                <w:b/>
                <w:color w:val="FFFFFF"/>
                <w:sz w:val="20"/>
              </w:rPr>
              <w:t>行业术语转换</w:t>
            </w:r>
          </w:p>
        </w:tc>
      </w:tr>
      <w:tr>
        <w:tc>
          <w:tcPr>
            <w:tcW w:type="dxa" w:w="1134"/>
          </w:tcPr>
          <w:p>
            <w:pPr>
              <w:jc w:val="left"/>
            </w:pPr>
            <w:r/>
            <w:r>
              <w:rPr>
                <w:rFonts w:ascii="微软雅黑" w:hAnsi="微软雅黑" w:eastAsia="微软雅黑"/>
                <w:color w:val="333333"/>
                <w:sz w:val="19"/>
              </w:rPr>
              <w:t>🏦 金融</w:t>
            </w:r>
          </w:p>
        </w:tc>
        <w:tc>
          <w:tcPr>
            <w:tcW w:type="dxa" w:w="2268"/>
          </w:tcPr>
          <w:p>
            <w:pPr>
              <w:jc w:val="left"/>
            </w:pPr>
            <w:r/>
            <w:r>
              <w:rPr>
                <w:rFonts w:ascii="微软雅黑" w:hAnsi="微软雅黑" w:eastAsia="微软雅黑"/>
                <w:color w:val="333333"/>
                <w:sz w:val="19"/>
              </w:rPr>
              <w:t>监管合规、Oracle 数据库性能要求高、业务连续性</w:t>
            </w:r>
          </w:p>
        </w:tc>
        <w:tc>
          <w:tcPr>
            <w:tcW w:type="dxa" w:w="2551"/>
          </w:tcPr>
          <w:p>
            <w:pPr>
              <w:jc w:val="left"/>
            </w:pPr>
            <w:r/>
            <w:r>
              <w:rPr>
                <w:rFonts w:ascii="微软雅黑" w:hAnsi="微软雅黑" w:eastAsia="微软雅黑"/>
                <w:color w:val="333333"/>
                <w:sz w:val="19"/>
              </w:rPr>
              <w:t>鲲鹏 ARM 架构低功耗高并发、分布式存储 NVMe 全闪优化、跨站点容灾</w:t>
            </w:r>
          </w:p>
        </w:tc>
        <w:tc>
          <w:tcPr>
            <w:tcW w:type="dxa" w:w="3118"/>
          </w:tcPr>
          <w:p>
            <w:pPr>
              <w:jc w:val="left"/>
            </w:pPr>
            <w:r/>
            <w:r>
              <w:rPr>
                <w:rFonts w:ascii="微软雅黑" w:hAnsi="微软雅黑" w:eastAsia="微软雅黑"/>
                <w:color w:val="333333"/>
                <w:sz w:val="19"/>
              </w:rPr>
              <w:t>"信创"→"金融信创试点"</w:t>
              <w:br/>
              <w:t>"高可用"→"两地三中心"</w:t>
              <w:br/>
              <w:t>"性能"→"交易系统毫秒级响应"</w:t>
            </w:r>
          </w:p>
        </w:tc>
      </w:tr>
      <w:tr>
        <w:tc>
          <w:tcPr>
            <w:tcW w:type="dxa" w:w="1134"/>
            <w:shd w:fill="F2F6FC"/>
          </w:tcPr>
          <w:p>
            <w:pPr>
              <w:jc w:val="left"/>
            </w:pPr>
            <w:r/>
            <w:r>
              <w:rPr>
                <w:rFonts w:ascii="微软雅黑" w:hAnsi="微软雅黑" w:eastAsia="微软雅黑"/>
                <w:color w:val="333333"/>
                <w:sz w:val="19"/>
              </w:rPr>
              <w:t>🏛️ 政府</w:t>
            </w:r>
          </w:p>
        </w:tc>
        <w:tc>
          <w:tcPr>
            <w:tcW w:type="dxa" w:w="2268"/>
            <w:shd w:fill="F2F6FC"/>
          </w:tcPr>
          <w:p>
            <w:pPr>
              <w:jc w:val="left"/>
            </w:pPr>
            <w:r/>
            <w:r>
              <w:rPr>
                <w:rFonts w:ascii="微软雅黑" w:hAnsi="微软雅黑" w:eastAsia="微软雅黑"/>
                <w:color w:val="333333"/>
                <w:sz w:val="19"/>
              </w:rPr>
              <w:t>信创国产化时间紧、预算周期长、多部门独立建设</w:t>
            </w:r>
          </w:p>
        </w:tc>
        <w:tc>
          <w:tcPr>
            <w:tcW w:type="dxa" w:w="2551"/>
            <w:shd w:fill="F2F6FC"/>
          </w:tcPr>
          <w:p>
            <w:pPr>
              <w:jc w:val="left"/>
            </w:pPr>
            <w:r/>
            <w:r>
              <w:rPr>
                <w:rFonts w:ascii="微软雅黑" w:hAnsi="微软雅黑" w:eastAsia="微软雅黑"/>
                <w:color w:val="333333"/>
                <w:sz w:val="19"/>
              </w:rPr>
              <w:t>全栈信创（鲲鹏+高斯+麒麟）、高性价比替代 VMware、统一政务云平台</w:t>
            </w:r>
          </w:p>
        </w:tc>
        <w:tc>
          <w:tcPr>
            <w:tcW w:type="dxa" w:w="3118"/>
            <w:shd w:fill="F2F6FC"/>
          </w:tcPr>
          <w:p>
            <w:pPr>
              <w:jc w:val="left"/>
            </w:pPr>
            <w:r/>
            <w:r>
              <w:rPr>
                <w:rFonts w:ascii="微软雅黑" w:hAnsi="微软雅黑" w:eastAsia="微软雅黑"/>
                <w:color w:val="333333"/>
                <w:sz w:val="19"/>
              </w:rPr>
              <w:t>"超融合"→"数字政府基础设施"</w:t>
              <w:br/>
              <w:t>"信创"→"信创替代达标"</w:t>
            </w:r>
          </w:p>
        </w:tc>
      </w:tr>
      <w:tr>
        <w:tc>
          <w:tcPr>
            <w:tcW w:type="dxa" w:w="1134"/>
          </w:tcPr>
          <w:p>
            <w:pPr>
              <w:jc w:val="left"/>
            </w:pPr>
            <w:r/>
            <w:r>
              <w:rPr>
                <w:rFonts w:ascii="微软雅黑" w:hAnsi="微软雅黑" w:eastAsia="微软雅黑"/>
                <w:color w:val="333333"/>
                <w:sz w:val="19"/>
              </w:rPr>
              <w:t>🎓 教育</w:t>
            </w:r>
          </w:p>
        </w:tc>
        <w:tc>
          <w:tcPr>
            <w:tcW w:type="dxa" w:w="2268"/>
          </w:tcPr>
          <w:p>
            <w:pPr>
              <w:jc w:val="left"/>
            </w:pPr>
            <w:r/>
            <w:r>
              <w:rPr>
                <w:rFonts w:ascii="微软雅黑" w:hAnsi="微软雅黑" w:eastAsia="微软雅黑"/>
                <w:color w:val="333333"/>
                <w:sz w:val="19"/>
              </w:rPr>
              <w:t>预算有限、多校区统一管理、科研计算需求</w:t>
            </w:r>
          </w:p>
        </w:tc>
        <w:tc>
          <w:tcPr>
            <w:tcW w:type="dxa" w:w="2551"/>
          </w:tcPr>
          <w:p>
            <w:pPr>
              <w:jc w:val="left"/>
            </w:pPr>
            <w:r/>
            <w:r>
              <w:rPr>
                <w:rFonts w:ascii="微软雅黑" w:hAnsi="微软雅黑" w:eastAsia="微软雅黑"/>
                <w:color w:val="333333"/>
                <w:sz w:val="19"/>
              </w:rPr>
              <w:t>3 节点低成本起步、远程统一运维、支持 GPU 扩展 AI 训练</w:t>
            </w:r>
          </w:p>
        </w:tc>
        <w:tc>
          <w:tcPr>
            <w:tcW w:type="dxa" w:w="3118"/>
          </w:tcPr>
          <w:p>
            <w:pPr>
              <w:jc w:val="left"/>
            </w:pPr>
            <w:r/>
            <w:r>
              <w:rPr>
                <w:rFonts w:ascii="微软雅黑" w:hAnsi="微软雅黑" w:eastAsia="微软雅黑"/>
                <w:color w:val="333333"/>
                <w:sz w:val="19"/>
              </w:rPr>
              <w:t>"云化"→"智慧校园云平台"</w:t>
              <w:br/>
              <w:t>"超融合"→"科研计算资源池"</w:t>
            </w:r>
          </w:p>
        </w:tc>
      </w:tr>
      <w:tr>
        <w:tc>
          <w:tcPr>
            <w:tcW w:type="dxa" w:w="1134"/>
            <w:shd w:fill="F2F6FC"/>
          </w:tcPr>
          <w:p>
            <w:pPr>
              <w:jc w:val="left"/>
            </w:pPr>
            <w:r/>
            <w:r>
              <w:rPr>
                <w:rFonts w:ascii="微软雅黑" w:hAnsi="微软雅黑" w:eastAsia="微软雅黑"/>
                <w:color w:val="333333"/>
                <w:sz w:val="19"/>
              </w:rPr>
              <w:t>🏭 制造</w:t>
            </w:r>
          </w:p>
        </w:tc>
        <w:tc>
          <w:tcPr>
            <w:tcW w:type="dxa" w:w="2268"/>
            <w:shd w:fill="F2F6FC"/>
          </w:tcPr>
          <w:p>
            <w:pPr>
              <w:jc w:val="left"/>
            </w:pPr>
            <w:r/>
            <w:r>
              <w:rPr>
                <w:rFonts w:ascii="微软雅黑" w:hAnsi="微软雅黑" w:eastAsia="微软雅黑"/>
                <w:color w:val="333333"/>
                <w:sz w:val="19"/>
              </w:rPr>
              <w:t>产线 IT/OT 融合、边缘站点分散、MES/ERP 系统上云</w:t>
            </w:r>
          </w:p>
        </w:tc>
        <w:tc>
          <w:tcPr>
            <w:tcW w:type="dxa" w:w="2551"/>
            <w:shd w:fill="F2F6FC"/>
          </w:tcPr>
          <w:p>
            <w:pPr>
              <w:jc w:val="left"/>
            </w:pPr>
            <w:r/>
            <w:r>
              <w:rPr>
                <w:rFonts w:ascii="微软雅黑" w:hAnsi="微软雅黑" w:eastAsia="微软雅黑"/>
                <w:color w:val="333333"/>
                <w:sz w:val="19"/>
              </w:rPr>
              <w:t>边缘节点小规模轻量部署、高可靠免值守、与华为云打通混合云</w:t>
            </w:r>
          </w:p>
        </w:tc>
        <w:tc>
          <w:tcPr>
            <w:tcW w:type="dxa" w:w="3118"/>
            <w:shd w:fill="F2F6FC"/>
          </w:tcPr>
          <w:p>
            <w:pPr>
              <w:jc w:val="left"/>
            </w:pPr>
            <w:r/>
            <w:r>
              <w:rPr>
                <w:rFonts w:ascii="微软雅黑" w:hAnsi="微软雅黑" w:eastAsia="微软雅黑"/>
                <w:color w:val="333333"/>
                <w:sz w:val="19"/>
              </w:rPr>
              <w:t>"超融合"→"智能制造底座"</w:t>
              <w:br/>
              <w:t>"混合云"→"弹性制造云"</w:t>
            </w:r>
          </w:p>
        </w:tc>
      </w:tr>
      <w:tr>
        <w:tc>
          <w:tcPr>
            <w:tcW w:type="dxa" w:w="1134"/>
          </w:tcPr>
          <w:p>
            <w:pPr>
              <w:jc w:val="left"/>
            </w:pPr>
            <w:r/>
            <w:r>
              <w:rPr>
                <w:rFonts w:ascii="微软雅黑" w:hAnsi="微软雅黑" w:eastAsia="微软雅黑"/>
                <w:color w:val="333333"/>
                <w:sz w:val="19"/>
              </w:rPr>
              <w:t>🌐 医疗</w:t>
            </w:r>
          </w:p>
        </w:tc>
        <w:tc>
          <w:tcPr>
            <w:tcW w:type="dxa" w:w="2268"/>
          </w:tcPr>
          <w:p>
            <w:pPr>
              <w:jc w:val="left"/>
            </w:pPr>
            <w:r/>
            <w:r>
              <w:rPr>
                <w:rFonts w:ascii="微软雅黑" w:hAnsi="微软雅黑" w:eastAsia="微软雅黑"/>
                <w:color w:val="333333"/>
                <w:sz w:val="19"/>
              </w:rPr>
              <w:t>HIS/EMR 系统高可用要求、影像数据(PACS)存储增长快</w:t>
            </w:r>
          </w:p>
        </w:tc>
        <w:tc>
          <w:tcPr>
            <w:tcW w:type="dxa" w:w="2551"/>
          </w:tcPr>
          <w:p>
            <w:pPr>
              <w:jc w:val="left"/>
            </w:pPr>
            <w:r/>
            <w:r>
              <w:rPr>
                <w:rFonts w:ascii="微软雅黑" w:hAnsi="微软雅黑" w:eastAsia="微软雅黑"/>
                <w:color w:val="333333"/>
                <w:sz w:val="19"/>
              </w:rPr>
              <w:t>分布式存储大容量扩展、容灾备份一体化、PCI-DSS 合规</w:t>
            </w:r>
          </w:p>
        </w:tc>
        <w:tc>
          <w:tcPr>
            <w:tcW w:type="dxa" w:w="3118"/>
          </w:tcPr>
          <w:p>
            <w:pPr>
              <w:jc w:val="left"/>
            </w:pPr>
            <w:r/>
            <w:r>
              <w:rPr>
                <w:rFonts w:ascii="微软雅黑" w:hAnsi="微软雅黑" w:eastAsia="微软雅黑"/>
                <w:color w:val="333333"/>
                <w:sz w:val="19"/>
              </w:rPr>
              <w:t>"存储"→"PACS 影像存储池"</w:t>
              <w:br/>
              <w:t>"高可用"→"HIS系统零停机"</w:t>
            </w:r>
          </w:p>
        </w:tc>
      </w:tr>
    </w:tbl>
    <w:p/>
    <w:p>
      <w:pPr>
        <w:spacing w:before="80"/>
      </w:pPr>
      <w:r>
        <w:rPr>
          <w:rFonts w:ascii="微软雅黑" w:hAnsi="微软雅黑" w:eastAsia="微软雅黑"/>
          <w:i/>
          <w:color w:val="E86A17"/>
          <w:sz w:val="19"/>
        </w:rPr>
        <w:t>📌 售前要点：对谁说就切换成谁的语言。同一个功能，对金融讲"合规"，对政府讲"信创"，对制造讲"连续性"。</w:t>
      </w:r>
    </w:p>
    <w:p>
      <w:r>
        <w:br w:type="page"/>
      </w:r>
    </w:p>
    <w:p>
      <w:pPr>
        <w:pStyle w:val="Heading1"/>
        <w:jc w:val="left"/>
      </w:pPr>
      <w:r>
        <w:rPr>
          <w:rFonts w:ascii="微软雅黑" w:hAnsi="微软雅黑" w:eastAsia="微软雅黑"/>
          <w:color w:val="1A478A"/>
          <w:sz w:val="36"/>
        </w:rPr>
        <w:t>模块 9：方案模板</w:t>
      </w:r>
    </w:p>
    <w:p>
      <w:pPr>
        <w:pStyle w:val="Heading2"/>
        <w:jc w:val="left"/>
      </w:pPr>
      <w:r>
        <w:rPr>
          <w:rFonts w:ascii="微软雅黑" w:hAnsi="微软雅黑" w:eastAsia="微软雅黑"/>
          <w:color w:val="2B579A"/>
          <w:sz w:val="28"/>
        </w:rPr>
        <w:t>标准售前方案框架</w:t>
      </w:r>
    </w:p>
    <w:p>
      <w:pPr>
        <w:pStyle w:val="Heading3"/>
        <w:jc w:val="left"/>
      </w:pPr>
      <w:r>
        <w:rPr>
          <w:rFonts w:ascii="微软雅黑" w:hAnsi="微软雅黑" w:eastAsia="微软雅黑"/>
          <w:color w:val="1A478A"/>
          <w:sz w:val="24"/>
        </w:rPr>
        <w:t>一、项目背景与需求分析</w:t>
      </w:r>
    </w:p>
    <w:p>
      <w:r>
        <w:rPr>
          <w:rFonts w:ascii="微软雅黑" w:hAnsi="微软雅黑" w:eastAsia="微软雅黑"/>
          <w:sz w:val="21"/>
        </w:rPr>
        <w:t xml:space="preserve">  • 客户当前 IT 现状（现有设备清单、虚拟化/物理机占比）</w:t>
      </w:r>
    </w:p>
    <w:p>
      <w:r>
        <w:rPr>
          <w:rFonts w:ascii="微软雅黑" w:hAnsi="微软雅黑" w:eastAsia="微软雅黑"/>
          <w:sz w:val="21"/>
        </w:rPr>
        <w:t xml:space="preserve">  • 业务痛点梳理（3-5 点）</w:t>
      </w:r>
    </w:p>
    <w:p>
      <w:r>
        <w:rPr>
          <w:rFonts w:ascii="微软雅黑" w:hAnsi="微软雅黑" w:eastAsia="微软雅黑"/>
          <w:sz w:val="21"/>
        </w:rPr>
        <w:t xml:space="preserve">  • 建设目标（信创达标 / 降本增效 / 业务上云）</w:t>
      </w:r>
    </w:p>
    <w:p>
      <w:pPr>
        <w:pStyle w:val="Heading3"/>
        <w:jc w:val="left"/>
      </w:pPr>
      <w:r>
        <w:rPr>
          <w:rFonts w:ascii="微软雅黑" w:hAnsi="微软雅黑" w:eastAsia="微软雅黑"/>
          <w:color w:val="1A478A"/>
          <w:sz w:val="24"/>
        </w:rPr>
        <w:t>二、方案设计</w:t>
      </w:r>
    </w:p>
    <w:p>
      <w:r>
        <w:rPr>
          <w:rFonts w:ascii="微软雅黑" w:hAnsi="微软雅黑" w:eastAsia="微软雅黑"/>
          <w:sz w:val="21"/>
        </w:rPr>
        <w:t xml:space="preserve">  • 设计原则（信创优先 / 高可用 / 平滑演进）</w:t>
      </w:r>
    </w:p>
    <w:p>
      <w:r>
        <w:rPr>
          <w:rFonts w:ascii="微软雅黑" w:hAnsi="微软雅黑" w:eastAsia="微软雅黑"/>
          <w:sz w:val="21"/>
        </w:rPr>
        <w:t xml:space="preserve">  • 整体架构图（FusionCube 集群 + 网络拓扑 + 容灾方案）</w:t>
      </w:r>
    </w:p>
    <w:p>
      <w:r>
        <w:rPr>
          <w:rFonts w:ascii="微软雅黑" w:hAnsi="微软雅黑" w:eastAsia="微软雅黑"/>
          <w:sz w:val="21"/>
        </w:rPr>
        <w:t xml:space="preserve">  • FusionCube 部署位置与角色（生产/容灾/边缘站点）</w:t>
      </w:r>
    </w:p>
    <w:p>
      <w:pPr>
        <w:pStyle w:val="Heading3"/>
        <w:jc w:val="left"/>
      </w:pPr>
      <w:r>
        <w:rPr>
          <w:rFonts w:ascii="微软雅黑" w:hAnsi="微软雅黑" w:eastAsia="微软雅黑"/>
          <w:color w:val="1A478A"/>
          <w:sz w:val="24"/>
        </w:rPr>
        <w:t>三、产品介绍</w:t>
      </w:r>
    </w:p>
    <w:p>
      <w:r>
        <w:rPr>
          <w:rFonts w:ascii="微软雅黑" w:hAnsi="微软雅黑" w:eastAsia="微软雅黑"/>
          <w:sz w:val="21"/>
        </w:rPr>
        <w:t xml:space="preserve">  • FusionCube 核心能力（全栈架构、分布式存储、智能运维）</w:t>
      </w:r>
    </w:p>
    <w:p>
      <w:r>
        <w:rPr>
          <w:rFonts w:ascii="微软雅黑" w:hAnsi="微软雅黑" w:eastAsia="微软雅黑"/>
          <w:sz w:val="21"/>
        </w:rPr>
        <w:t xml:space="preserve">  • 本方案配置清单（节点数、CPU/内存/存储配比、网络）</w:t>
      </w:r>
    </w:p>
    <w:p>
      <w:r>
        <w:rPr>
          <w:rFonts w:ascii="微软雅黑" w:hAnsi="微软雅黑" w:eastAsia="微软雅黑"/>
          <w:sz w:val="21"/>
        </w:rPr>
        <w:t xml:space="preserve">  • 与现有环境对接方案（V2V 迁移、IP 规划）</w:t>
      </w:r>
    </w:p>
    <w:p>
      <w:pPr>
        <w:pStyle w:val="Heading3"/>
        <w:jc w:val="left"/>
      </w:pPr>
      <w:r>
        <w:rPr>
          <w:rFonts w:ascii="微软雅黑" w:hAnsi="微软雅黑" w:eastAsia="微软雅黑"/>
          <w:color w:val="1A478A"/>
          <w:sz w:val="24"/>
        </w:rPr>
        <w:t>四、实施计划</w:t>
      </w:r>
    </w:p>
    <w:p>
      <w:r>
        <w:rPr>
          <w:rFonts w:ascii="微软雅黑" w:hAnsi="微软雅黑" w:eastAsia="微软雅黑"/>
          <w:sz w:val="21"/>
        </w:rPr>
        <w:t xml:space="preserve">  • 分阶段实施路径（POC → 部署 → 迁移 → 上线）</w:t>
      </w:r>
    </w:p>
    <w:p>
      <w:r>
        <w:rPr>
          <w:rFonts w:ascii="微软雅黑" w:hAnsi="微软雅黑" w:eastAsia="微软雅黑"/>
          <w:sz w:val="21"/>
        </w:rPr>
        <w:t xml:space="preserve">  • 时间周期预估（3 节点 2 周内完成）</w:t>
      </w:r>
    </w:p>
    <w:p>
      <w:r>
        <w:rPr>
          <w:rFonts w:ascii="微软雅黑" w:hAnsi="微软雅黑" w:eastAsia="微软雅黑"/>
          <w:sz w:val="21"/>
        </w:rPr>
        <w:t xml:space="preserve">  • 风险与应对</w:t>
      </w:r>
    </w:p>
    <w:p>
      <w:pPr>
        <w:pStyle w:val="Heading3"/>
        <w:jc w:val="left"/>
      </w:pPr>
      <w:r>
        <w:rPr>
          <w:rFonts w:ascii="微软雅黑" w:hAnsi="微软雅黑" w:eastAsia="微软雅黑"/>
          <w:color w:val="1A478A"/>
          <w:sz w:val="24"/>
        </w:rPr>
        <w:t>五、售后服务</w:t>
      </w:r>
    </w:p>
    <w:p>
      <w:r>
        <w:rPr>
          <w:rFonts w:ascii="微软雅黑" w:hAnsi="微软雅黑" w:eastAsia="微软雅黑"/>
          <w:sz w:val="21"/>
        </w:rPr>
        <w:t xml:space="preserve">  • 华为原厂维保 + 众云网本地化服务</w:t>
      </w:r>
    </w:p>
    <w:p>
      <w:r>
        <w:rPr>
          <w:rFonts w:ascii="微软雅黑" w:hAnsi="微软雅黑" w:eastAsia="微软雅黑"/>
          <w:sz w:val="21"/>
        </w:rPr>
        <w:t xml:space="preserve">  • 响应时效（30 分钟响应，4 小时到场）</w:t>
      </w:r>
    </w:p>
    <w:p>
      <w:r>
        <w:rPr>
          <w:rFonts w:ascii="微软雅黑" w:hAnsi="微软雅黑" w:eastAsia="微软雅黑"/>
          <w:sz w:val="21"/>
        </w:rPr>
        <w:t xml:space="preserve">  • 培训计划（HCIA/HCIP 认证培训）</w:t>
      </w:r>
    </w:p>
    <w:p>
      <w:pPr>
        <w:pStyle w:val="Heading2"/>
        <w:jc w:val="left"/>
      </w:pPr>
      <w:r>
        <w:rPr>
          <w:rFonts w:ascii="微软雅黑" w:hAnsi="微软雅黑" w:eastAsia="微软雅黑"/>
          <w:color w:val="2B579A"/>
          <w:sz w:val="28"/>
        </w:rPr>
        <w:t>典型配置清单模板</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567"/>
            <w:shd w:fill="1A478A"/>
          </w:tcPr>
          <w:p>
            <w:pPr>
              <w:jc w:val="center"/>
            </w:pPr>
            <w:r/>
            <w:r>
              <w:rPr>
                <w:rFonts w:ascii="微软雅黑" w:hAnsi="微软雅黑" w:eastAsia="微软雅黑"/>
                <w:b/>
                <w:color w:val="FFFFFF"/>
                <w:sz w:val="20"/>
              </w:rPr>
              <w:t>序号</w:t>
            </w:r>
          </w:p>
        </w:tc>
        <w:tc>
          <w:tcPr>
            <w:tcW w:type="dxa" w:w="1701"/>
            <w:shd w:fill="1A478A"/>
          </w:tcPr>
          <w:p>
            <w:pPr>
              <w:jc w:val="center"/>
            </w:pPr>
            <w:r/>
            <w:r>
              <w:rPr>
                <w:rFonts w:ascii="微软雅黑" w:hAnsi="微软雅黑" w:eastAsia="微软雅黑"/>
                <w:b/>
                <w:color w:val="FFFFFF"/>
                <w:sz w:val="20"/>
              </w:rPr>
              <w:t>产品型号</w:t>
            </w:r>
          </w:p>
        </w:tc>
        <w:tc>
          <w:tcPr>
            <w:tcW w:type="dxa" w:w="3118"/>
            <w:shd w:fill="1A478A"/>
          </w:tcPr>
          <w:p>
            <w:pPr>
              <w:jc w:val="center"/>
            </w:pPr>
            <w:r/>
            <w:r>
              <w:rPr>
                <w:rFonts w:ascii="微软雅黑" w:hAnsi="微软雅黑" w:eastAsia="微软雅黑"/>
                <w:b/>
                <w:color w:val="FFFFFF"/>
                <w:sz w:val="20"/>
              </w:rPr>
              <w:t>描述</w:t>
            </w:r>
          </w:p>
        </w:tc>
        <w:tc>
          <w:tcPr>
            <w:tcW w:type="dxa" w:w="850"/>
            <w:shd w:fill="1A478A"/>
          </w:tcPr>
          <w:p>
            <w:pPr>
              <w:jc w:val="center"/>
            </w:pPr>
            <w:r/>
            <w:r>
              <w:rPr>
                <w:rFonts w:ascii="微软雅黑" w:hAnsi="微软雅黑" w:eastAsia="微软雅黑"/>
                <w:b/>
                <w:color w:val="FFFFFF"/>
                <w:sz w:val="20"/>
              </w:rPr>
              <w:t>数量</w:t>
            </w:r>
          </w:p>
        </w:tc>
        <w:tc>
          <w:tcPr>
            <w:tcW w:type="dxa" w:w="1417"/>
            <w:shd w:fill="1A478A"/>
          </w:tcPr>
          <w:p>
            <w:pPr>
              <w:jc w:val="center"/>
            </w:pPr>
            <w:r/>
            <w:r>
              <w:rPr>
                <w:rFonts w:ascii="微软雅黑" w:hAnsi="微软雅黑" w:eastAsia="微软雅黑"/>
                <w:b/>
                <w:color w:val="FFFFFF"/>
                <w:sz w:val="20"/>
              </w:rPr>
              <w:t>单价（参考）</w:t>
            </w:r>
          </w:p>
        </w:tc>
        <w:tc>
          <w:tcPr>
            <w:tcW w:type="dxa" w:w="1417"/>
            <w:shd w:fill="1A478A"/>
          </w:tcPr>
          <w:p>
            <w:pPr>
              <w:jc w:val="center"/>
            </w:pPr>
            <w:r/>
            <w:r>
              <w:rPr>
                <w:rFonts w:ascii="微软雅黑" w:hAnsi="微软雅黑" w:eastAsia="微软雅黑"/>
                <w:b/>
                <w:color w:val="FFFFFF"/>
                <w:sz w:val="20"/>
              </w:rPr>
              <w:t>合计</w:t>
            </w:r>
          </w:p>
        </w:tc>
      </w:tr>
      <w:tr>
        <w:tc>
          <w:tcPr>
            <w:tcW w:type="dxa" w:w="567"/>
          </w:tcPr>
          <w:p>
            <w:pPr>
              <w:jc w:val="left"/>
            </w:pPr>
            <w:r/>
            <w:r>
              <w:rPr>
                <w:rFonts w:ascii="微软雅黑" w:hAnsi="微软雅黑" w:eastAsia="微软雅黑"/>
                <w:color w:val="333333"/>
                <w:sz w:val="19"/>
              </w:rPr>
              <w:t>1</w:t>
            </w:r>
          </w:p>
        </w:tc>
        <w:tc>
          <w:tcPr>
            <w:tcW w:type="dxa" w:w="1701"/>
          </w:tcPr>
          <w:p>
            <w:pPr>
              <w:jc w:val="left"/>
            </w:pPr>
            <w:r/>
            <w:r>
              <w:rPr>
                <w:rFonts w:ascii="微软雅黑" w:hAnsi="微软雅黑" w:eastAsia="微软雅黑"/>
                <w:color w:val="333333"/>
                <w:sz w:val="19"/>
              </w:rPr>
              <w:t>FusionCube 1000</w:t>
            </w:r>
          </w:p>
        </w:tc>
        <w:tc>
          <w:tcPr>
            <w:tcW w:type="dxa" w:w="3118"/>
          </w:tcPr>
          <w:p>
            <w:pPr>
              <w:jc w:val="left"/>
            </w:pPr>
            <w:r/>
            <w:r>
              <w:rPr>
                <w:rFonts w:ascii="微软雅黑" w:hAnsi="微软雅黑" w:eastAsia="微软雅黑"/>
                <w:color w:val="333333"/>
                <w:sz w:val="19"/>
              </w:rPr>
              <w:t>超融合一体机(3节点，鲲鹏920，512GB，2*SSD+4*HDD)</w:t>
            </w:r>
          </w:p>
        </w:tc>
        <w:tc>
          <w:tcPr>
            <w:tcW w:type="dxa" w:w="850"/>
          </w:tcPr>
          <w:p>
            <w:pPr>
              <w:jc w:val="left"/>
            </w:pPr>
            <w:r/>
            <w:r>
              <w:rPr>
                <w:rFonts w:ascii="微软雅黑" w:hAnsi="微软雅黑" w:eastAsia="微软雅黑"/>
                <w:color w:val="333333"/>
                <w:sz w:val="19"/>
              </w:rPr>
              <w:t>1套</w:t>
            </w:r>
          </w:p>
        </w:tc>
        <w:tc>
          <w:tcPr>
            <w:tcW w:type="dxa" w:w="1417"/>
          </w:tcPr>
          <w:p>
            <w:pPr>
              <w:jc w:val="left"/>
            </w:pPr>
            <w:r/>
            <w:r>
              <w:rPr>
                <w:rFonts w:ascii="微软雅黑" w:hAnsi="微软雅黑" w:eastAsia="微软雅黑"/>
                <w:color w:val="333333"/>
                <w:sz w:val="19"/>
              </w:rPr>
              <w:t>¥400,000</w:t>
            </w:r>
          </w:p>
        </w:tc>
        <w:tc>
          <w:tcPr>
            <w:tcW w:type="dxa" w:w="1417"/>
          </w:tcPr>
          <w:p>
            <w:pPr>
              <w:jc w:val="left"/>
            </w:pPr>
            <w:r/>
            <w:r>
              <w:rPr>
                <w:rFonts w:ascii="微软雅黑" w:hAnsi="微软雅黑" w:eastAsia="微软雅黑"/>
                <w:color w:val="333333"/>
                <w:sz w:val="19"/>
              </w:rPr>
              <w:t>¥400,000</w:t>
            </w:r>
          </w:p>
        </w:tc>
      </w:tr>
      <w:tr>
        <w:tc>
          <w:tcPr>
            <w:tcW w:type="dxa" w:w="567"/>
            <w:shd w:fill="F2F6FC"/>
          </w:tcPr>
          <w:p>
            <w:pPr>
              <w:jc w:val="left"/>
            </w:pPr>
            <w:r/>
            <w:r>
              <w:rPr>
                <w:rFonts w:ascii="微软雅黑" w:hAnsi="微软雅黑" w:eastAsia="微软雅黑"/>
                <w:color w:val="333333"/>
                <w:sz w:val="19"/>
              </w:rPr>
              <w:t>2</w:t>
            </w:r>
          </w:p>
        </w:tc>
        <w:tc>
          <w:tcPr>
            <w:tcW w:type="dxa" w:w="1701"/>
            <w:shd w:fill="F2F6FC"/>
          </w:tcPr>
          <w:p>
            <w:pPr>
              <w:jc w:val="left"/>
            </w:pPr>
            <w:r/>
            <w:r>
              <w:rPr>
                <w:rFonts w:ascii="微软雅黑" w:hAnsi="微软雅黑" w:eastAsia="微软雅黑"/>
                <w:color w:val="333333"/>
                <w:sz w:val="19"/>
              </w:rPr>
              <w:t>FusionSphere License</w:t>
            </w:r>
          </w:p>
        </w:tc>
        <w:tc>
          <w:tcPr>
            <w:tcW w:type="dxa" w:w="3118"/>
            <w:shd w:fill="F2F6FC"/>
          </w:tcPr>
          <w:p>
            <w:pPr>
              <w:jc w:val="left"/>
            </w:pPr>
            <w:r/>
            <w:r>
              <w:rPr>
                <w:rFonts w:ascii="微软雅黑" w:hAnsi="微软雅黑" w:eastAsia="微软雅黑"/>
                <w:color w:val="333333"/>
                <w:sz w:val="19"/>
              </w:rPr>
              <w:t>计算虚拟化许可（按CPU核数）</w:t>
            </w:r>
          </w:p>
        </w:tc>
        <w:tc>
          <w:tcPr>
            <w:tcW w:type="dxa" w:w="850"/>
            <w:shd w:fill="F2F6FC"/>
          </w:tcPr>
          <w:p>
            <w:pPr>
              <w:jc w:val="left"/>
            </w:pPr>
            <w:r/>
            <w:r>
              <w:rPr>
                <w:rFonts w:ascii="微软雅黑" w:hAnsi="微软雅黑" w:eastAsia="微软雅黑"/>
                <w:color w:val="333333"/>
                <w:sz w:val="19"/>
              </w:rPr>
              <w:t>96核</w:t>
            </w:r>
          </w:p>
        </w:tc>
        <w:tc>
          <w:tcPr>
            <w:tcW w:type="dxa" w:w="1417"/>
            <w:shd w:fill="F2F6FC"/>
          </w:tcPr>
          <w:p>
            <w:pPr>
              <w:jc w:val="left"/>
            </w:pPr>
            <w:r/>
            <w:r>
              <w:rPr>
                <w:rFonts w:ascii="微软雅黑" w:hAnsi="微软雅黑" w:eastAsia="微软雅黑"/>
                <w:color w:val="333333"/>
                <w:sz w:val="19"/>
              </w:rPr>
              <w:t>¥3,000/核</w:t>
            </w:r>
          </w:p>
        </w:tc>
        <w:tc>
          <w:tcPr>
            <w:tcW w:type="dxa" w:w="1417"/>
            <w:shd w:fill="F2F6FC"/>
          </w:tcPr>
          <w:p>
            <w:pPr>
              <w:jc w:val="left"/>
            </w:pPr>
            <w:r/>
            <w:r>
              <w:rPr>
                <w:rFonts w:ascii="微软雅黑" w:hAnsi="微软雅黑" w:eastAsia="微软雅黑"/>
                <w:color w:val="333333"/>
                <w:sz w:val="19"/>
              </w:rPr>
              <w:t>¥288,000</w:t>
            </w:r>
          </w:p>
        </w:tc>
      </w:tr>
      <w:tr>
        <w:tc>
          <w:tcPr>
            <w:tcW w:type="dxa" w:w="567"/>
          </w:tcPr>
          <w:p>
            <w:pPr>
              <w:jc w:val="left"/>
            </w:pPr>
            <w:r/>
            <w:r>
              <w:rPr>
                <w:rFonts w:ascii="微软雅黑" w:hAnsi="微软雅黑" w:eastAsia="微软雅黑"/>
                <w:color w:val="333333"/>
                <w:sz w:val="19"/>
              </w:rPr>
              <w:t>3</w:t>
            </w:r>
          </w:p>
        </w:tc>
        <w:tc>
          <w:tcPr>
            <w:tcW w:type="dxa" w:w="1701"/>
          </w:tcPr>
          <w:p>
            <w:pPr>
              <w:jc w:val="left"/>
            </w:pPr>
            <w:r/>
            <w:r>
              <w:rPr>
                <w:rFonts w:ascii="微软雅黑" w:hAnsi="微软雅黑" w:eastAsia="微软雅黑"/>
                <w:color w:val="333333"/>
                <w:sz w:val="19"/>
              </w:rPr>
              <w:t>FusionStorage License</w:t>
            </w:r>
          </w:p>
        </w:tc>
        <w:tc>
          <w:tcPr>
            <w:tcW w:type="dxa" w:w="3118"/>
          </w:tcPr>
          <w:p>
            <w:pPr>
              <w:jc w:val="left"/>
            </w:pPr>
            <w:r/>
            <w:r>
              <w:rPr>
                <w:rFonts w:ascii="微软雅黑" w:hAnsi="微软雅黑" w:eastAsia="微软雅黑"/>
                <w:color w:val="333333"/>
                <w:sz w:val="19"/>
              </w:rPr>
              <w:t>分布式存储许可（按节点）</w:t>
            </w:r>
          </w:p>
        </w:tc>
        <w:tc>
          <w:tcPr>
            <w:tcW w:type="dxa" w:w="850"/>
          </w:tcPr>
          <w:p>
            <w:pPr>
              <w:jc w:val="left"/>
            </w:pPr>
            <w:r/>
            <w:r>
              <w:rPr>
                <w:rFonts w:ascii="微软雅黑" w:hAnsi="微软雅黑" w:eastAsia="微软雅黑"/>
                <w:color w:val="333333"/>
                <w:sz w:val="19"/>
              </w:rPr>
              <w:t>3节点</w:t>
            </w:r>
          </w:p>
        </w:tc>
        <w:tc>
          <w:tcPr>
            <w:tcW w:type="dxa" w:w="1417"/>
          </w:tcPr>
          <w:p>
            <w:pPr>
              <w:jc w:val="left"/>
            </w:pPr>
            <w:r/>
            <w:r>
              <w:rPr>
                <w:rFonts w:ascii="微软雅黑" w:hAnsi="微软雅黑" w:eastAsia="微软雅黑"/>
                <w:color w:val="333333"/>
                <w:sz w:val="19"/>
              </w:rPr>
              <w:t>¥20,000/节点</w:t>
            </w:r>
          </w:p>
        </w:tc>
        <w:tc>
          <w:tcPr>
            <w:tcW w:type="dxa" w:w="1417"/>
          </w:tcPr>
          <w:p>
            <w:pPr>
              <w:jc w:val="left"/>
            </w:pPr>
            <w:r/>
            <w:r>
              <w:rPr>
                <w:rFonts w:ascii="微软雅黑" w:hAnsi="微软雅黑" w:eastAsia="微软雅黑"/>
                <w:color w:val="333333"/>
                <w:sz w:val="19"/>
              </w:rPr>
              <w:t>¥60,000</w:t>
            </w:r>
          </w:p>
        </w:tc>
      </w:tr>
      <w:tr>
        <w:tc>
          <w:tcPr>
            <w:tcW w:type="dxa" w:w="567"/>
            <w:shd w:fill="F2F6FC"/>
          </w:tcPr>
          <w:p>
            <w:pPr>
              <w:jc w:val="left"/>
            </w:pPr>
            <w:r/>
            <w:r>
              <w:rPr>
                <w:rFonts w:ascii="微软雅黑" w:hAnsi="微软雅黑" w:eastAsia="微软雅黑"/>
                <w:color w:val="333333"/>
                <w:sz w:val="19"/>
              </w:rPr>
              <w:t>4</w:t>
            </w:r>
          </w:p>
        </w:tc>
        <w:tc>
          <w:tcPr>
            <w:tcW w:type="dxa" w:w="1701"/>
            <w:shd w:fill="F2F6FC"/>
          </w:tcPr>
          <w:p>
            <w:pPr>
              <w:jc w:val="left"/>
            </w:pPr>
            <w:r/>
            <w:r>
              <w:rPr>
                <w:rFonts w:ascii="微软雅黑" w:hAnsi="微软雅黑" w:eastAsia="微软雅黑"/>
                <w:color w:val="333333"/>
                <w:sz w:val="19"/>
              </w:rPr>
              <w:t>CE6857 交换机</w:t>
            </w:r>
          </w:p>
        </w:tc>
        <w:tc>
          <w:tcPr>
            <w:tcW w:type="dxa" w:w="3118"/>
            <w:shd w:fill="F2F6FC"/>
          </w:tcPr>
          <w:p>
            <w:pPr>
              <w:jc w:val="left"/>
            </w:pPr>
            <w:r/>
            <w:r>
              <w:rPr>
                <w:rFonts w:ascii="微软雅黑" w:hAnsi="微软雅黑" w:eastAsia="微软雅黑"/>
                <w:color w:val="333333"/>
                <w:sz w:val="19"/>
              </w:rPr>
              <w:t>25G/100G 数据中心交换机</w:t>
            </w:r>
          </w:p>
        </w:tc>
        <w:tc>
          <w:tcPr>
            <w:tcW w:type="dxa" w:w="850"/>
            <w:shd w:fill="F2F6FC"/>
          </w:tcPr>
          <w:p>
            <w:pPr>
              <w:jc w:val="left"/>
            </w:pPr>
            <w:r/>
            <w:r>
              <w:rPr>
                <w:rFonts w:ascii="微软雅黑" w:hAnsi="微软雅黑" w:eastAsia="微软雅黑"/>
                <w:color w:val="333333"/>
                <w:sz w:val="19"/>
              </w:rPr>
              <w:t>2台</w:t>
            </w:r>
          </w:p>
        </w:tc>
        <w:tc>
          <w:tcPr>
            <w:tcW w:type="dxa" w:w="1417"/>
            <w:shd w:fill="F2F6FC"/>
          </w:tcPr>
          <w:p>
            <w:pPr>
              <w:jc w:val="left"/>
            </w:pPr>
            <w:r/>
            <w:r>
              <w:rPr>
                <w:rFonts w:ascii="微软雅黑" w:hAnsi="微软雅黑" w:eastAsia="微软雅黑"/>
                <w:color w:val="333333"/>
                <w:sz w:val="19"/>
              </w:rPr>
              <w:t>¥80,000</w:t>
            </w:r>
          </w:p>
        </w:tc>
        <w:tc>
          <w:tcPr>
            <w:tcW w:type="dxa" w:w="1417"/>
            <w:shd w:fill="F2F6FC"/>
          </w:tcPr>
          <w:p>
            <w:pPr>
              <w:jc w:val="left"/>
            </w:pPr>
            <w:r/>
            <w:r>
              <w:rPr>
                <w:rFonts w:ascii="微软雅黑" w:hAnsi="微软雅黑" w:eastAsia="微软雅黑"/>
                <w:color w:val="333333"/>
                <w:sz w:val="19"/>
              </w:rPr>
              <w:t>¥160,000</w:t>
            </w:r>
          </w:p>
        </w:tc>
      </w:tr>
      <w:tr>
        <w:tc>
          <w:tcPr>
            <w:tcW w:type="dxa" w:w="567"/>
          </w:tcPr>
          <w:p>
            <w:pPr>
              <w:jc w:val="left"/>
            </w:pPr>
            <w:r/>
            <w:r>
              <w:rPr>
                <w:rFonts w:ascii="微软雅黑" w:hAnsi="微软雅黑" w:eastAsia="微软雅黑"/>
                <w:color w:val="333333"/>
                <w:sz w:val="19"/>
              </w:rPr>
              <w:t>5</w:t>
            </w:r>
          </w:p>
        </w:tc>
        <w:tc>
          <w:tcPr>
            <w:tcW w:type="dxa" w:w="1701"/>
          </w:tcPr>
          <w:p>
            <w:pPr>
              <w:jc w:val="left"/>
            </w:pPr>
            <w:r/>
            <w:r>
              <w:rPr>
                <w:rFonts w:ascii="微软雅黑" w:hAnsi="微软雅黑" w:eastAsia="微软雅黑"/>
                <w:color w:val="333333"/>
                <w:sz w:val="19"/>
              </w:rPr>
              <w:t>安装部署服务</w:t>
            </w:r>
          </w:p>
        </w:tc>
        <w:tc>
          <w:tcPr>
            <w:tcW w:type="dxa" w:w="3118"/>
          </w:tcPr>
          <w:p>
            <w:pPr>
              <w:jc w:val="left"/>
            </w:pPr>
            <w:r/>
            <w:r>
              <w:rPr>
                <w:rFonts w:ascii="微软雅黑" w:hAnsi="微软雅黑" w:eastAsia="微软雅黑"/>
                <w:color w:val="333333"/>
                <w:sz w:val="19"/>
              </w:rPr>
              <w:t>华为原厂安装 + 调优</w:t>
            </w:r>
          </w:p>
        </w:tc>
        <w:tc>
          <w:tcPr>
            <w:tcW w:type="dxa" w:w="850"/>
          </w:tcPr>
          <w:p>
            <w:pPr>
              <w:jc w:val="left"/>
            </w:pPr>
            <w:r/>
            <w:r>
              <w:rPr>
                <w:rFonts w:ascii="微软雅黑" w:hAnsi="微软雅黑" w:eastAsia="微软雅黑"/>
                <w:color w:val="333333"/>
                <w:sz w:val="19"/>
              </w:rPr>
              <w:t>1套</w:t>
            </w:r>
          </w:p>
        </w:tc>
        <w:tc>
          <w:tcPr>
            <w:tcW w:type="dxa" w:w="1417"/>
          </w:tcPr>
          <w:p>
            <w:pPr>
              <w:jc w:val="left"/>
            </w:pPr>
            <w:r/>
            <w:r>
              <w:rPr>
                <w:rFonts w:ascii="微软雅黑" w:hAnsi="微软雅黑" w:eastAsia="微软雅黑"/>
                <w:color w:val="333333"/>
                <w:sz w:val="19"/>
              </w:rPr>
              <w:t>¥50,000</w:t>
            </w:r>
          </w:p>
        </w:tc>
        <w:tc>
          <w:tcPr>
            <w:tcW w:type="dxa" w:w="1417"/>
          </w:tcPr>
          <w:p>
            <w:pPr>
              <w:jc w:val="left"/>
            </w:pPr>
            <w:r/>
            <w:r>
              <w:rPr>
                <w:rFonts w:ascii="微软雅黑" w:hAnsi="微软雅黑" w:eastAsia="微软雅黑"/>
                <w:color w:val="333333"/>
                <w:sz w:val="19"/>
              </w:rPr>
              <w:t>¥50,000</w:t>
            </w:r>
          </w:p>
        </w:tc>
      </w:tr>
      <w:tr>
        <w:tc>
          <w:tcPr>
            <w:tcW w:type="dxa" w:w="567"/>
            <w:shd w:fill="F2F6FC"/>
          </w:tcPr>
          <w:p>
            <w:pPr>
              <w:jc w:val="left"/>
            </w:pPr>
            <w:r/>
            <w:r>
              <w:rPr>
                <w:rFonts w:ascii="微软雅黑" w:hAnsi="微软雅黑" w:eastAsia="微软雅黑"/>
                <w:color w:val="333333"/>
                <w:sz w:val="19"/>
              </w:rPr>
            </w:r>
          </w:p>
        </w:tc>
        <w:tc>
          <w:tcPr>
            <w:tcW w:type="dxa" w:w="1701"/>
            <w:shd w:fill="F2F6FC"/>
          </w:tcPr>
          <w:p>
            <w:pPr>
              <w:jc w:val="left"/>
            </w:pPr>
            <w:r/>
            <w:r>
              <w:rPr>
                <w:rFonts w:ascii="微软雅黑" w:hAnsi="微软雅黑" w:eastAsia="微软雅黑"/>
                <w:color w:val="333333"/>
                <w:sz w:val="19"/>
              </w:rPr>
            </w:r>
          </w:p>
        </w:tc>
        <w:tc>
          <w:tcPr>
            <w:tcW w:type="dxa" w:w="3118"/>
            <w:shd w:fill="F2F6FC"/>
          </w:tcPr>
          <w:p>
            <w:pPr>
              <w:jc w:val="left"/>
            </w:pPr>
            <w:r/>
            <w:r>
              <w:rPr>
                <w:rFonts w:ascii="微软雅黑" w:hAnsi="微软雅黑" w:eastAsia="微软雅黑"/>
                <w:color w:val="333333"/>
                <w:sz w:val="19"/>
              </w:rPr>
              <w:t>合计</w:t>
            </w:r>
          </w:p>
        </w:tc>
        <w:tc>
          <w:tcPr>
            <w:tcW w:type="dxa" w:w="850"/>
            <w:shd w:fill="F2F6FC"/>
          </w:tcPr>
          <w:p>
            <w:pPr>
              <w:jc w:val="left"/>
            </w:pPr>
            <w:r/>
            <w:r>
              <w:rPr>
                <w:rFonts w:ascii="微软雅黑" w:hAnsi="微软雅黑" w:eastAsia="微软雅黑"/>
                <w:color w:val="333333"/>
                <w:sz w:val="19"/>
              </w:rPr>
            </w:r>
          </w:p>
        </w:tc>
        <w:tc>
          <w:tcPr>
            <w:tcW w:type="dxa" w:w="1417"/>
            <w:shd w:fill="F2F6FC"/>
          </w:tcPr>
          <w:p>
            <w:pPr>
              <w:jc w:val="left"/>
            </w:pPr>
            <w:r/>
            <w:r>
              <w:rPr>
                <w:rFonts w:ascii="微软雅黑" w:hAnsi="微软雅黑" w:eastAsia="微软雅黑"/>
                <w:color w:val="333333"/>
                <w:sz w:val="19"/>
              </w:rPr>
            </w:r>
          </w:p>
        </w:tc>
        <w:tc>
          <w:tcPr>
            <w:tcW w:type="dxa" w:w="1417"/>
            <w:shd w:fill="F2F6FC"/>
          </w:tcPr>
          <w:p>
            <w:pPr>
              <w:jc w:val="left"/>
            </w:pPr>
            <w:r/>
            <w:r>
              <w:rPr>
                <w:rFonts w:ascii="微软雅黑" w:hAnsi="微软雅黑" w:eastAsia="微软雅黑"/>
                <w:color w:val="333333"/>
                <w:sz w:val="19"/>
              </w:rPr>
              <w:t>¥958,000</w:t>
            </w:r>
          </w:p>
        </w:tc>
      </w:tr>
    </w:tbl>
    <w:p/>
    <w:p>
      <w:pPr>
        <w:pStyle w:val="Heading2"/>
        <w:jc w:val="left"/>
      </w:pPr>
      <w:r>
        <w:rPr>
          <w:rFonts w:ascii="微软雅黑" w:hAnsi="微软雅黑" w:eastAsia="微软雅黑"/>
          <w:color w:val="2B579A"/>
          <w:sz w:val="28"/>
        </w:rPr>
        <w:t>报价策略提示</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134"/>
            <w:shd w:fill="1A478A"/>
          </w:tcPr>
          <w:p>
            <w:pPr>
              <w:jc w:val="center"/>
            </w:pPr>
            <w:r/>
            <w:r>
              <w:rPr>
                <w:rFonts w:ascii="微软雅黑" w:hAnsi="微软雅黑" w:eastAsia="微软雅黑"/>
                <w:b/>
                <w:color w:val="FFFFFF"/>
                <w:sz w:val="20"/>
              </w:rPr>
              <w:t>档位</w:t>
            </w:r>
          </w:p>
        </w:tc>
        <w:tc>
          <w:tcPr>
            <w:tcW w:type="dxa" w:w="1984"/>
            <w:shd w:fill="1A478A"/>
          </w:tcPr>
          <w:p>
            <w:pPr>
              <w:jc w:val="center"/>
            </w:pPr>
            <w:r/>
            <w:r>
              <w:rPr>
                <w:rFonts w:ascii="微软雅黑" w:hAnsi="微软雅黑" w:eastAsia="微软雅黑"/>
                <w:b/>
                <w:color w:val="FFFFFF"/>
                <w:sz w:val="20"/>
              </w:rPr>
              <w:t>客户定位</w:t>
            </w:r>
          </w:p>
        </w:tc>
        <w:tc>
          <w:tcPr>
            <w:tcW w:type="dxa" w:w="3118"/>
            <w:shd w:fill="1A478A"/>
          </w:tcPr>
          <w:p>
            <w:pPr>
              <w:jc w:val="center"/>
            </w:pPr>
            <w:r/>
            <w:r>
              <w:rPr>
                <w:rFonts w:ascii="微软雅黑" w:hAnsi="微软雅黑" w:eastAsia="微软雅黑"/>
                <w:b/>
                <w:color w:val="FFFFFF"/>
                <w:sz w:val="20"/>
              </w:rPr>
              <w:t>配置</w:t>
            </w:r>
          </w:p>
        </w:tc>
        <w:tc>
          <w:tcPr>
            <w:tcW w:type="dxa" w:w="1701"/>
            <w:shd w:fill="1A478A"/>
          </w:tcPr>
          <w:p>
            <w:pPr>
              <w:jc w:val="center"/>
            </w:pPr>
            <w:r/>
            <w:r>
              <w:rPr>
                <w:rFonts w:ascii="微软雅黑" w:hAnsi="微软雅黑" w:eastAsia="微软雅黑"/>
                <w:b/>
                <w:color w:val="FFFFFF"/>
                <w:sz w:val="20"/>
              </w:rPr>
              <w:t>参考价格</w:t>
            </w:r>
          </w:p>
        </w:tc>
      </w:tr>
      <w:tr>
        <w:tc>
          <w:tcPr>
            <w:tcW w:type="dxa" w:w="1134"/>
          </w:tcPr>
          <w:p>
            <w:pPr>
              <w:jc w:val="left"/>
            </w:pPr>
            <w:r/>
            <w:r>
              <w:rPr>
                <w:rFonts w:ascii="微软雅黑" w:hAnsi="微软雅黑" w:eastAsia="微软雅黑"/>
                <w:color w:val="333333"/>
                <w:sz w:val="19"/>
              </w:rPr>
              <w:t>入门版</w:t>
            </w:r>
          </w:p>
        </w:tc>
        <w:tc>
          <w:tcPr>
            <w:tcW w:type="dxa" w:w="1984"/>
          </w:tcPr>
          <w:p>
            <w:pPr>
              <w:jc w:val="left"/>
            </w:pPr>
            <w:r/>
            <w:r>
              <w:rPr>
                <w:rFonts w:ascii="微软雅黑" w:hAnsi="微软雅黑" w:eastAsia="微软雅黑"/>
                <w:color w:val="333333"/>
                <w:sz w:val="19"/>
              </w:rPr>
              <w:t>中小客户/分支站点</w:t>
            </w:r>
          </w:p>
        </w:tc>
        <w:tc>
          <w:tcPr>
            <w:tcW w:type="dxa" w:w="3118"/>
          </w:tcPr>
          <w:p>
            <w:pPr>
              <w:jc w:val="left"/>
            </w:pPr>
            <w:r/>
            <w:r>
              <w:rPr>
                <w:rFonts w:ascii="微软雅黑" w:hAnsi="微软雅黑" w:eastAsia="微软雅黑"/>
                <w:color w:val="333333"/>
                <w:sz w:val="19"/>
              </w:rPr>
              <w:t>FusionCube 1000 3 节点起步</w:t>
            </w:r>
          </w:p>
        </w:tc>
        <w:tc>
          <w:tcPr>
            <w:tcW w:type="dxa" w:w="1701"/>
          </w:tcPr>
          <w:p>
            <w:pPr>
              <w:jc w:val="left"/>
            </w:pPr>
            <w:r/>
            <w:r>
              <w:rPr>
                <w:rFonts w:ascii="微软雅黑" w:hAnsi="微软雅黑" w:eastAsia="微软雅黑"/>
                <w:color w:val="333333"/>
                <w:sz w:val="19"/>
              </w:rPr>
              <w:t>¥40-50 万</w:t>
            </w:r>
          </w:p>
        </w:tc>
      </w:tr>
      <w:tr>
        <w:tc>
          <w:tcPr>
            <w:tcW w:type="dxa" w:w="1134"/>
            <w:shd w:fill="F2F6FC"/>
          </w:tcPr>
          <w:p>
            <w:pPr>
              <w:jc w:val="left"/>
            </w:pPr>
            <w:r/>
            <w:r>
              <w:rPr>
                <w:rFonts w:ascii="微软雅黑" w:hAnsi="微软雅黑" w:eastAsia="微软雅黑"/>
                <w:color w:val="333333"/>
                <w:sz w:val="19"/>
              </w:rPr>
              <w:t>标准版</w:t>
            </w:r>
          </w:p>
        </w:tc>
        <w:tc>
          <w:tcPr>
            <w:tcW w:type="dxa" w:w="1984"/>
            <w:shd w:fill="F2F6FC"/>
          </w:tcPr>
          <w:p>
            <w:pPr>
              <w:jc w:val="left"/>
            </w:pPr>
            <w:r/>
            <w:r>
              <w:rPr>
                <w:rFonts w:ascii="微软雅黑" w:hAnsi="微软雅黑" w:eastAsia="微软雅黑"/>
                <w:color w:val="333333"/>
                <w:sz w:val="19"/>
              </w:rPr>
              <w:t>中型数据中心</w:t>
            </w:r>
          </w:p>
        </w:tc>
        <w:tc>
          <w:tcPr>
            <w:tcW w:type="dxa" w:w="3118"/>
            <w:shd w:fill="F2F6FC"/>
          </w:tcPr>
          <w:p>
            <w:pPr>
              <w:jc w:val="left"/>
            </w:pPr>
            <w:r/>
            <w:r>
              <w:rPr>
                <w:rFonts w:ascii="微软雅黑" w:hAnsi="微软雅黑" w:eastAsia="微软雅黑"/>
                <w:color w:val="333333"/>
                <w:sz w:val="19"/>
              </w:rPr>
              <w:t>FusionCube 2000 混合 SSD+HDD 10-20 节点</w:t>
            </w:r>
          </w:p>
        </w:tc>
        <w:tc>
          <w:tcPr>
            <w:tcW w:type="dxa" w:w="1701"/>
            <w:shd w:fill="F2F6FC"/>
          </w:tcPr>
          <w:p>
            <w:pPr>
              <w:jc w:val="left"/>
            </w:pPr>
            <w:r/>
            <w:r>
              <w:rPr>
                <w:rFonts w:ascii="微软雅黑" w:hAnsi="微软雅黑" w:eastAsia="微软雅黑"/>
                <w:color w:val="333333"/>
                <w:sz w:val="19"/>
              </w:rPr>
              <w:t>¥100-200 万</w:t>
            </w:r>
          </w:p>
        </w:tc>
      </w:tr>
      <w:tr>
        <w:tc>
          <w:tcPr>
            <w:tcW w:type="dxa" w:w="1134"/>
          </w:tcPr>
          <w:p>
            <w:pPr>
              <w:jc w:val="left"/>
            </w:pPr>
            <w:r/>
            <w:r>
              <w:rPr>
                <w:rFonts w:ascii="微软雅黑" w:hAnsi="微软雅黑" w:eastAsia="微软雅黑"/>
                <w:color w:val="333333"/>
                <w:sz w:val="19"/>
              </w:rPr>
              <w:t>旗舰版</w:t>
            </w:r>
          </w:p>
        </w:tc>
        <w:tc>
          <w:tcPr>
            <w:tcW w:type="dxa" w:w="1984"/>
          </w:tcPr>
          <w:p>
            <w:pPr>
              <w:jc w:val="left"/>
            </w:pPr>
            <w:r/>
            <w:r>
              <w:rPr>
                <w:rFonts w:ascii="微软雅黑" w:hAnsi="微软雅黑" w:eastAsia="微软雅黑"/>
                <w:color w:val="333333"/>
                <w:sz w:val="19"/>
              </w:rPr>
              <w:t>核心数据中心/关键业务</w:t>
            </w:r>
          </w:p>
        </w:tc>
        <w:tc>
          <w:tcPr>
            <w:tcW w:type="dxa" w:w="3118"/>
          </w:tcPr>
          <w:p>
            <w:pPr>
              <w:jc w:val="left"/>
            </w:pPr>
            <w:r/>
            <w:r>
              <w:rPr>
                <w:rFonts w:ascii="微软雅黑" w:hAnsi="微软雅黑" w:eastAsia="微软雅黑"/>
                <w:color w:val="333333"/>
                <w:sz w:val="19"/>
              </w:rPr>
              <w:t>FusionCube 9000 全闪 + GPU + 异地容灾 20+ 节点</w:t>
            </w:r>
          </w:p>
        </w:tc>
        <w:tc>
          <w:tcPr>
            <w:tcW w:type="dxa" w:w="1701"/>
          </w:tcPr>
          <w:p>
            <w:pPr>
              <w:jc w:val="left"/>
            </w:pPr>
            <w:r/>
            <w:r>
              <w:rPr>
                <w:rFonts w:ascii="微软雅黑" w:hAnsi="微软雅黑" w:eastAsia="微软雅黑"/>
                <w:color w:val="333333"/>
                <w:sz w:val="19"/>
              </w:rPr>
              <w:t>¥300-800 万</w:t>
            </w:r>
          </w:p>
        </w:tc>
      </w:tr>
    </w:tbl>
    <w:p/>
    <w:p>
      <w:r>
        <w:br w:type="page"/>
      </w:r>
    </w:p>
    <w:p>
      <w:pPr>
        <w:pStyle w:val="Heading1"/>
        <w:jc w:val="left"/>
      </w:pPr>
      <w:r>
        <w:rPr>
          <w:rFonts w:ascii="微软雅黑" w:hAnsi="微软雅黑" w:eastAsia="微软雅黑"/>
          <w:color w:val="1A478A"/>
          <w:sz w:val="36"/>
        </w:rPr>
        <w:t>模块 10：30 秒话术</w:t>
      </w:r>
    </w:p>
    <w:p>
      <w:pPr>
        <w:pStyle w:val="Heading2"/>
        <w:jc w:val="left"/>
      </w:pPr>
      <w:r>
        <w:rPr>
          <w:rFonts w:ascii="微软雅黑" w:hAnsi="微软雅黑" w:eastAsia="微软雅黑"/>
          <w:color w:val="2B579A"/>
          <w:sz w:val="28"/>
        </w:rPr>
        <w:t>电梯演讲（30 秒版本）</w:t>
      </w:r>
    </w:p>
    <w:p>
      <w:r>
        <w:rPr>
          <w:rFonts w:ascii="微软雅黑" w:hAnsi="微软雅黑" w:eastAsia="微软雅黑"/>
          <w:sz w:val="21"/>
        </w:rPr>
        <w:t>"张总，简单介绍一下华为 FusionCube 超融合。它是华为推出的一套数据中心基础架构平台，把计算、存储、网络、管理全部整合在一台设备里，专门解决传统 IT 架构集成周期长、运维复杂、扩展困难的问题。</w:t>
        <w:br/>
        <w:br/>
        <w:t>跟市面上其他产品最大的不同是，华为从底层的鲲鹏芯片到上面的虚拟化和存储全是自研的，深度优化后性能比同类产品高 30% 以上，而且一步到位满足信创要求。</w:t>
        <w:br/>
        <w:br/>
        <w:t>我们在某省政务云部署了之后，建设周期从 3 个月缩短到 1 周，运维人员从 5 人减到 1 人。如果您感兴趣，我可以安排一个技术交流，也可以先做 POC 测试。"</w:t>
      </w:r>
    </w:p>
    <w:p>
      <w:pPr>
        <w:pStyle w:val="Heading2"/>
        <w:jc w:val="left"/>
      </w:pPr>
      <w:r>
        <w:rPr>
          <w:rFonts w:ascii="微软雅黑" w:hAnsi="微软雅黑" w:eastAsia="微软雅黑"/>
          <w:color w:val="2B579A"/>
          <w:sz w:val="28"/>
        </w:rPr>
        <w:t>费曼讲解（大白话给非技术决策者讲）</w:t>
      </w:r>
    </w:p>
    <w:p>
      <w:r>
        <w:rPr>
          <w:rFonts w:ascii="微软雅黑" w:hAnsi="微软雅黑" w:eastAsia="微软雅黑"/>
          <w:sz w:val="21"/>
        </w:rPr>
        <w:t>华为超融合，您可以把它理解成一个"数据中心一体机"。</w:t>
        <w:br/>
        <w:br/>
        <w:t>以前建一个机房，您得分别买服务器、买存储设备、买交换机，然后再找不同的人来安装调试，至少折腾两三个月。出了问题还得判断是服务器、存储还是网络的问题，很头疼。</w:t>
        <w:br/>
        <w:br/>
        <w:t>华为超融合就是把这三样东西全部整合到一台机器里，出厂就已经装好、调好，送到您公司——通电、联网、开机，几个小时就能用。</w:t>
        <w:br/>
        <w:br/>
        <w:t>而且它有一个特别聪明的设计：多台机器之间的硬盘会自动组成一个大池子，哪台机器缺空间，随时从池子里拿，不需要关机、不需要搬机器。就像您家里如果几个冰箱之间能自动借菜一样。</w:t>
        <w:br/>
        <w:br/>
        <w:t>最重要的是，华为这个方案从芯片（鲲鹏）到操作系统到管理软件，全部是华为自己研发的——这意味着国家要求的关键系统国产化替代，它能一步到位满足要求，不需要过两年再重新换一套。</w:t>
        <w:br/>
        <w:br/>
        <w:t>简单说就是：省时间、省人力、能扩展、还合规。</w:t>
      </w:r>
    </w:p>
    <w:p/>
    <w:p>
      <w:r>
        <w:rPr>
          <w:rFonts w:ascii="微软雅黑" w:hAnsi="微软雅黑" w:eastAsia="微软雅黑"/>
          <w:b/>
          <w:sz w:val="21"/>
        </w:rPr>
        <w:t>信息来源标注</w:t>
      </w:r>
    </w:p>
    <w:p>
      <w:r>
        <w:rPr>
          <w:rFonts w:ascii="微软雅黑" w:hAnsi="微软雅黑" w:eastAsia="微软雅黑"/>
          <w:sz w:val="21"/>
        </w:rPr>
        <w:t xml:space="preserve">  • 本文内容基于 AI 知识库生成，部分市场数据可能存在时效性差异</w:t>
      </w:r>
    </w:p>
    <w:p>
      <w:r>
        <w:rPr>
          <w:rFonts w:ascii="微软雅黑" w:hAnsi="微软雅黑" w:eastAsia="微软雅黑"/>
          <w:sz w:val="21"/>
        </w:rPr>
        <w:t xml:space="preserve">  • 建议根据实际客户情况和最新行业报告调整配置和报价</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微软雅黑" w:hAnsi="微软雅黑" w:eastAsia="微软雅黑"/>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