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微软雅黑" w:hAnsi="微软雅黑"/>
          <w:b/>
          <w:color w:val="1A478A"/>
          <w:sz w:val="52"/>
        </w:rPr>
        <w:t>深信服零信任 aTrust</w:t>
      </w:r>
    </w:p>
    <w:p>
      <w:pPr>
        <w:jc w:val="center"/>
      </w:pPr>
      <w:r>
        <w:rPr>
          <w:rFonts w:ascii="微软雅黑" w:hAnsi="微软雅黑"/>
          <w:color w:val="555555"/>
          <w:sz w:val="32"/>
        </w:rPr>
        <w:t>完整知识体系 — 售前工程师学习手册</w:t>
      </w:r>
    </w:p>
    <w:p/>
    <w:p>
      <w:pPr>
        <w:jc w:val="center"/>
      </w:pPr>
      <w:r>
        <w:rPr>
          <w:rFonts w:ascii="微软雅黑" w:hAnsi="微软雅黑"/>
          <w:color w:val="888888"/>
          <w:sz w:val="22"/>
        </w:rPr>
        <w:t>众云网 · 售前技术部</w:t>
        <w:br/>
        <w:t>生成日期：2026年06月08日</w:t>
        <w:br/>
        <w:t>品类：安全 | 零信任</w:t>
      </w:r>
    </w:p>
    <w:p>
      <w:r>
        <w:br w:type="page"/>
      </w:r>
    </w:p>
    <w:p>
      <w:pPr>
        <w:pStyle w:val="Heading1"/>
      </w:pPr>
      <w:r>
        <w:rPr>
          <w:rFonts w:ascii="微软雅黑" w:hAnsi="微软雅黑"/>
        </w:rPr>
        <w:t>目  录</w:t>
      </w:r>
    </w:p>
    <w:p>
      <w:pPr>
        <w:spacing w:after="80"/>
      </w:pPr>
      <w:r>
        <w:rPr>
          <w:rFonts w:ascii="微软雅黑" w:hAnsi="微软雅黑"/>
          <w:sz w:val="22"/>
        </w:rPr>
        <w:t>模块 1：厂商速览</w:t>
      </w:r>
    </w:p>
    <w:p>
      <w:pPr>
        <w:spacing w:after="80"/>
      </w:pPr>
      <w:r>
        <w:rPr>
          <w:rFonts w:ascii="微软雅黑" w:hAnsi="微软雅黑"/>
          <w:sz w:val="22"/>
        </w:rPr>
        <w:t>模块 2：产品定位</w:t>
      </w:r>
    </w:p>
    <w:p>
      <w:pPr>
        <w:spacing w:after="80"/>
      </w:pPr>
      <w:r>
        <w:rPr>
          <w:rFonts w:ascii="微软雅黑" w:hAnsi="微软雅黑"/>
          <w:sz w:val="22"/>
        </w:rPr>
        <w:t>模块 3：技术架构</w:t>
      </w:r>
    </w:p>
    <w:p>
      <w:pPr>
        <w:spacing w:after="80"/>
      </w:pPr>
      <w:r>
        <w:rPr>
          <w:rFonts w:ascii="微软雅黑" w:hAnsi="微软雅黑"/>
          <w:sz w:val="22"/>
        </w:rPr>
        <w:t>模块 4：产品线关系</w:t>
      </w:r>
    </w:p>
    <w:p>
      <w:pPr>
        <w:spacing w:after="80"/>
      </w:pPr>
      <w:r>
        <w:rPr>
          <w:rFonts w:ascii="微软雅黑" w:hAnsi="微软雅黑"/>
          <w:sz w:val="22"/>
        </w:rPr>
        <w:t>模块 5：核心功能 TOP 5</w:t>
      </w:r>
    </w:p>
    <w:p>
      <w:pPr>
        <w:spacing w:after="80"/>
      </w:pPr>
      <w:r>
        <w:rPr>
          <w:rFonts w:ascii="微软雅黑" w:hAnsi="微软雅黑"/>
          <w:sz w:val="22"/>
        </w:rPr>
        <w:t>模块 6：FAQ 高频问答</w:t>
      </w:r>
    </w:p>
    <w:p>
      <w:pPr>
        <w:spacing w:after="80"/>
      </w:pPr>
      <w:r>
        <w:rPr>
          <w:rFonts w:ascii="微软雅黑" w:hAnsi="微软雅黑"/>
          <w:sz w:val="22"/>
        </w:rPr>
        <w:t>模块 7：竞品矩阵</w:t>
      </w:r>
    </w:p>
    <w:p>
      <w:pPr>
        <w:spacing w:after="80"/>
      </w:pPr>
      <w:r>
        <w:rPr>
          <w:rFonts w:ascii="微软雅黑" w:hAnsi="微软雅黑"/>
          <w:sz w:val="22"/>
        </w:rPr>
        <w:t>模块 8：行业场景映射</w:t>
      </w:r>
    </w:p>
    <w:p>
      <w:pPr>
        <w:spacing w:after="80"/>
      </w:pPr>
      <w:r>
        <w:rPr>
          <w:rFonts w:ascii="微软雅黑" w:hAnsi="微软雅黑"/>
          <w:sz w:val="22"/>
        </w:rPr>
        <w:t>模块 9：方案模板</w:t>
      </w:r>
    </w:p>
    <w:p>
      <w:pPr>
        <w:spacing w:after="80"/>
      </w:pPr>
      <w:r>
        <w:rPr>
          <w:rFonts w:ascii="微软雅黑" w:hAnsi="微软雅黑"/>
          <w:sz w:val="22"/>
        </w:rPr>
        <w:t>模块 10：30 秒话术</w:t>
      </w:r>
    </w:p>
    <w:p>
      <w:r>
        <w:br w:type="page"/>
      </w:r>
    </w:p>
    <w:p>
      <w:pPr>
        <w:pStyle w:val="Heading1"/>
      </w:pPr>
      <w:r>
        <w:rPr>
          <w:rFonts w:ascii="微软雅黑" w:hAnsi="微软雅黑"/>
        </w:rPr>
        <w:t>模块 1：厂商速览</w:t>
      </w:r>
    </w:p>
    <w:tbl>
      <w:tblPr>
        <w:tblStyle w:val="TableGrid"/>
        <w:tblW w:type="auto" w:w="0"/>
        <w:jc w:val="center"/>
        <w:tblLook w:firstColumn="1" w:firstRow="1" w:lastColumn="0" w:lastRow="0" w:noHBand="0" w:noVBand="1" w:val="04A0"/>
      </w:tblPr>
      <w:tblGrid>
        <w:gridCol w:w="4703"/>
        <w:gridCol w:w="4703"/>
      </w:tblGrid>
      <w:tr>
        <w:tc>
          <w:tcPr>
            <w:tcW w:type="dxa" w:w="4703"/>
            <w:shd w:fill="2B579A" w:val="clear"/>
          </w:tcPr>
          <w:p>
            <w:pPr>
              <w:jc w:val="center"/>
            </w:pPr>
            <w:r>
              <w:rPr>
                <w:rFonts w:ascii="微软雅黑" w:hAnsi="微软雅黑"/>
                <w:b/>
                <w:color w:val="FFFFFF"/>
                <w:sz w:val="18"/>
              </w:rPr>
              <w:t>维度</w:t>
            </w:r>
          </w:p>
        </w:tc>
        <w:tc>
          <w:tcPr>
            <w:tcW w:type="dxa" w:w="4703"/>
            <w:shd w:fill="2B579A" w:val="clear"/>
          </w:tcPr>
          <w:p>
            <w:pPr>
              <w:jc w:val="center"/>
            </w:pPr>
            <w:r>
              <w:rPr>
                <w:rFonts w:ascii="微软雅黑" w:hAnsi="微软雅黑"/>
                <w:b/>
                <w:color w:val="FFFFFF"/>
                <w:sz w:val="18"/>
              </w:rPr>
              <w:t>内容</w:t>
            </w:r>
          </w:p>
        </w:tc>
      </w:tr>
      <w:tr>
        <w:tc>
          <w:tcPr>
            <w:tcW w:type="dxa" w:w="4703"/>
            <w:shd w:fill="F2F6FC" w:val="clear"/>
          </w:tcPr>
          <w:p>
            <w:r>
              <w:rPr>
                <w:rFonts w:ascii="微软雅黑" w:hAnsi="微软雅黑"/>
                <w:sz w:val="18"/>
              </w:rPr>
              <w:t>厂商全称</w:t>
            </w:r>
          </w:p>
        </w:tc>
        <w:tc>
          <w:tcPr>
            <w:tcW w:type="dxa" w:w="4703"/>
            <w:shd w:fill="F2F6FC" w:val="clear"/>
          </w:tcPr>
          <w:p>
            <w:r>
              <w:rPr>
                <w:rFonts w:ascii="微软雅黑" w:hAnsi="微软雅黑"/>
                <w:sz w:val="18"/>
              </w:rPr>
              <w:t>深信服科技股份有限公司（Sangfor Technologies）</w:t>
            </w:r>
          </w:p>
        </w:tc>
      </w:tr>
      <w:tr>
        <w:tc>
          <w:tcPr>
            <w:tcW w:type="dxa" w:w="4703"/>
          </w:tcPr>
          <w:p>
            <w:r>
              <w:rPr>
                <w:rFonts w:ascii="微软雅黑" w:hAnsi="微软雅黑"/>
                <w:sz w:val="18"/>
              </w:rPr>
              <w:t>成立时间</w:t>
            </w:r>
          </w:p>
        </w:tc>
        <w:tc>
          <w:tcPr>
            <w:tcW w:type="dxa" w:w="4703"/>
          </w:tcPr>
          <w:p>
            <w:r>
              <w:rPr>
                <w:rFonts w:ascii="微软雅黑" w:hAnsi="微软雅黑"/>
                <w:sz w:val="18"/>
              </w:rPr>
              <w:t>2000 年</w:t>
            </w:r>
          </w:p>
        </w:tc>
      </w:tr>
      <w:tr>
        <w:tc>
          <w:tcPr>
            <w:tcW w:type="dxa" w:w="4703"/>
            <w:shd w:fill="F2F6FC" w:val="clear"/>
          </w:tcPr>
          <w:p>
            <w:r>
              <w:rPr>
                <w:rFonts w:ascii="微软雅黑" w:hAnsi="微软雅黑"/>
                <w:sz w:val="18"/>
              </w:rPr>
              <w:t>总部/主要市场</w:t>
            </w:r>
          </w:p>
        </w:tc>
        <w:tc>
          <w:tcPr>
            <w:tcW w:type="dxa" w:w="4703"/>
            <w:shd w:fill="F2F6FC" w:val="clear"/>
          </w:tcPr>
          <w:p>
            <w:r>
              <w:rPr>
                <w:rFonts w:ascii="微软雅黑" w:hAnsi="微软雅黑"/>
                <w:sz w:val="18"/>
              </w:rPr>
              <w:t>深圳 / 中国市场为主，东南亚、中东等海外市场拓展中</w:t>
            </w:r>
          </w:p>
        </w:tc>
      </w:tr>
      <w:tr>
        <w:tc>
          <w:tcPr>
            <w:tcW w:type="dxa" w:w="4703"/>
          </w:tcPr>
          <w:p>
            <w:r>
              <w:rPr>
                <w:rFonts w:ascii="微软雅黑" w:hAnsi="微软雅黑"/>
                <w:sz w:val="18"/>
              </w:rPr>
              <w:t>融资/上市状态</w:t>
            </w:r>
          </w:p>
        </w:tc>
        <w:tc>
          <w:tcPr>
            <w:tcW w:type="dxa" w:w="4703"/>
          </w:tcPr>
          <w:p>
            <w:r>
              <w:rPr>
                <w:rFonts w:ascii="微软雅黑" w:hAnsi="微软雅黑"/>
                <w:sz w:val="18"/>
              </w:rPr>
              <w:t>深交所创业板上市（300454），2018 年上市</w:t>
            </w:r>
          </w:p>
        </w:tc>
      </w:tr>
      <w:tr>
        <w:tc>
          <w:tcPr>
            <w:tcW w:type="dxa" w:w="4703"/>
            <w:shd w:fill="F2F6FC" w:val="clear"/>
          </w:tcPr>
          <w:p>
            <w:r>
              <w:rPr>
                <w:rFonts w:ascii="微软雅黑" w:hAnsi="微软雅黑"/>
                <w:sz w:val="18"/>
              </w:rPr>
              <w:t>员工规模</w:t>
            </w:r>
          </w:p>
        </w:tc>
        <w:tc>
          <w:tcPr>
            <w:tcW w:type="dxa" w:w="4703"/>
            <w:shd w:fill="F2F6FC" w:val="clear"/>
          </w:tcPr>
          <w:p>
            <w:r>
              <w:rPr>
                <w:rFonts w:ascii="微软雅黑" w:hAnsi="微软雅黑"/>
                <w:sz w:val="18"/>
              </w:rPr>
              <w:t>约 9,000+ 人</w:t>
            </w:r>
          </w:p>
        </w:tc>
      </w:tr>
      <w:tr>
        <w:tc>
          <w:tcPr>
            <w:tcW w:type="dxa" w:w="4703"/>
          </w:tcPr>
          <w:p>
            <w:r>
              <w:rPr>
                <w:rFonts w:ascii="微软雅黑" w:hAnsi="微软雅黑"/>
                <w:sz w:val="18"/>
              </w:rPr>
              <w:t>Gartner 象限 / IDC 排名</w:t>
            </w:r>
          </w:p>
        </w:tc>
        <w:tc>
          <w:tcPr>
            <w:tcW w:type="dxa" w:w="4703"/>
          </w:tcPr>
          <w:p>
            <w:r>
              <w:rPr>
                <w:rFonts w:ascii="微软雅黑" w:hAnsi="微软雅黑"/>
                <w:sz w:val="18"/>
              </w:rPr>
              <w:t>Gartner 网络安全多个领域魔力象限提名；IDC 中国安全内容管理、VPN 市场份额多年第一</w:t>
            </w:r>
          </w:p>
        </w:tc>
      </w:tr>
      <w:tr>
        <w:tc>
          <w:tcPr>
            <w:tcW w:type="dxa" w:w="4703"/>
            <w:shd w:fill="F2F6FC" w:val="clear"/>
          </w:tcPr>
          <w:p>
            <w:r>
              <w:rPr>
                <w:rFonts w:ascii="微软雅黑" w:hAnsi="微软雅黑"/>
                <w:sz w:val="18"/>
              </w:rPr>
              <w:t>国内市场份额/地位</w:t>
            </w:r>
          </w:p>
        </w:tc>
        <w:tc>
          <w:tcPr>
            <w:tcW w:type="dxa" w:w="4703"/>
            <w:shd w:fill="F2F6FC" w:val="clear"/>
          </w:tcPr>
          <w:p>
            <w:r>
              <w:rPr>
                <w:rFonts w:ascii="微软雅黑" w:hAnsi="微软雅黑"/>
                <w:sz w:val="18"/>
              </w:rPr>
              <w:t>中国网络安全 Top 3 厂商，VPN/上网行为管理市场第一，零信任领域稳居第一梯队</w:t>
            </w:r>
          </w:p>
        </w:tc>
      </w:tr>
      <w:tr>
        <w:tc>
          <w:tcPr>
            <w:tcW w:type="dxa" w:w="4703"/>
          </w:tcPr>
          <w:p>
            <w:r>
              <w:rPr>
                <w:rFonts w:ascii="微软雅黑" w:hAnsi="微软雅黑"/>
                <w:sz w:val="18"/>
              </w:rPr>
              <w:t>官网</w:t>
            </w:r>
          </w:p>
        </w:tc>
        <w:tc>
          <w:tcPr>
            <w:tcW w:type="dxa" w:w="4703"/>
          </w:tcPr>
          <w:p>
            <w:r>
              <w:rPr>
                <w:rFonts w:ascii="微软雅黑" w:hAnsi="微软雅黑"/>
                <w:sz w:val="18"/>
              </w:rPr>
              <w:t>https://www.sangfor.com.cn</w:t>
            </w:r>
          </w:p>
        </w:tc>
      </w:tr>
      <w:tr>
        <w:tc>
          <w:tcPr>
            <w:tcW w:type="dxa" w:w="4703"/>
            <w:shd w:fill="F2F6FC" w:val="clear"/>
          </w:tcPr>
          <w:p>
            <w:r>
              <w:rPr>
                <w:rFonts w:ascii="微软雅黑" w:hAnsi="微软雅黑"/>
                <w:sz w:val="18"/>
              </w:rPr>
              <w:t>核心产品线</w:t>
            </w:r>
          </w:p>
        </w:tc>
        <w:tc>
          <w:tcPr>
            <w:tcW w:type="dxa" w:w="4703"/>
            <w:shd w:fill="F2F6FC" w:val="clear"/>
          </w:tcPr>
          <w:p>
            <w:r>
              <w:rPr>
                <w:rFonts w:ascii="微软雅黑" w:hAnsi="微软雅黑"/>
                <w:sz w:val="18"/>
              </w:rPr>
              <w:t>下一代防火墙(AF)、上网行为管理(AC)、SSL VPN、零信任(aTrust)、超融合(HCI)、桌面云、EDR、SIP 态势感知、XDR、安全托管服务 MSS</w:t>
            </w:r>
          </w:p>
        </w:tc>
      </w:tr>
    </w:tbl>
    <w:p/>
    <w:p>
      <w:r>
        <w:rPr>
          <w:rFonts w:ascii="微软雅黑" w:hAnsi="微软雅黑"/>
          <w:b/>
          <w:color w:val="C0392B"/>
          <w:sz w:val="20"/>
        </w:rPr>
        <w:t>📌 售前要点：</w:t>
      </w:r>
      <w:r>
        <w:rPr>
          <w:rFonts w:ascii="微软雅黑" w:hAnsi="微软雅黑"/>
          <w:sz w:val="20"/>
        </w:rPr>
        <w:t>面对客户时，用 2-3 句话概括厂商实力，建立信任感。</w:t>
      </w:r>
    </w:p>
    <w:p>
      <w:r>
        <w:rPr>
          <w:rFonts w:ascii="微软雅黑" w:hAnsi="微软雅黑"/>
          <w:b/>
          <w:sz w:val="20"/>
        </w:rPr>
        <w:t>话术参考：</w:t>
      </w:r>
    </w:p>
    <w:p>
      <w:pPr>
        <w:ind w:left="567"/>
      </w:pPr>
      <w:r>
        <w:rPr>
          <w:rFonts w:ascii="微软雅黑" w:hAnsi="微软雅黑"/>
          <w:i/>
          <w:sz w:val="20"/>
        </w:rPr>
        <w:t>"深信服是国内网络安全前三的上市公司，做了 20 多年，在 VPN 和上网行为管理领域国内市场占有率第一。零信任产品 aTrust 是他们在传统 VPN 基础上演进而来的，技术底子非常扎实，目前在国内零信任市场也是第一梯队位置。"</w:t>
      </w:r>
    </w:p>
    <w:p>
      <w:r>
        <w:br w:type="page"/>
      </w:r>
    </w:p>
    <w:p>
      <w:pPr>
        <w:pStyle w:val="Heading1"/>
      </w:pPr>
      <w:r>
        <w:rPr>
          <w:rFonts w:ascii="微软雅黑" w:hAnsi="微软雅黑"/>
        </w:rPr>
        <w:t>模块 2：产品定位</w:t>
      </w:r>
    </w:p>
    <w:p>
      <w:pPr>
        <w:pStyle w:val="Heading2"/>
      </w:pPr>
      <w:r>
        <w:rPr>
          <w:rFonts w:ascii="微软雅黑" w:hAnsi="微软雅黑"/>
        </w:rPr>
        <w:t>一句话定位</w:t>
      </w:r>
    </w:p>
    <w:p>
      <w:pPr>
        <w:ind w:left="567"/>
      </w:pPr>
      <w:r>
        <w:rPr>
          <w:rFonts w:ascii="微软雅黑" w:hAnsi="微软雅黑"/>
          <w:i/>
          <w:sz w:val="20"/>
        </w:rPr>
        <w:t>深信服 aTrust 零信任安全产品是一个面向政企客户的零信任安全接入与访问控制平台，帮助客户解决远程办公安全风险高、分支机构接入管控弱、内外网边界模糊带来的横向移动攻击、以及传统 VPN 权限粒度过粗等痛点，相比传统 VPN 及奇安信/山石等友商的差异化优势在于与深信服自有安全生态（防火墙+SIP+XDR+EDR）深度联动，形成"端-管-云"一体化零信任闭环。</w:t>
      </w:r>
    </w:p>
    <w:p>
      <w:pPr>
        <w:pStyle w:val="Heading2"/>
      </w:pPr>
      <w:r>
        <w:rPr>
          <w:rFonts w:ascii="微软雅黑" w:hAnsi="微软雅黑"/>
        </w:rPr>
        <w:t>目标客户画像</w:t>
      </w:r>
    </w:p>
    <w:tbl>
      <w:tblPr>
        <w:tblStyle w:val="TableGrid"/>
        <w:tblW w:type="auto" w:w="0"/>
        <w:jc w:val="center"/>
        <w:tblLook w:firstColumn="1" w:firstRow="1" w:lastColumn="0" w:lastRow="0" w:noHBand="0" w:noVBand="1" w:val="04A0"/>
      </w:tblPr>
      <w:tblGrid>
        <w:gridCol w:w="4703"/>
        <w:gridCol w:w="4703"/>
      </w:tblGrid>
      <w:tr>
        <w:tc>
          <w:tcPr>
            <w:tcW w:type="dxa" w:w="4703"/>
            <w:shd w:fill="2B579A" w:val="clear"/>
          </w:tcPr>
          <w:p>
            <w:pPr>
              <w:jc w:val="center"/>
            </w:pPr>
            <w:r>
              <w:rPr>
                <w:rFonts w:ascii="微软雅黑" w:hAnsi="微软雅黑"/>
                <w:b/>
                <w:color w:val="FFFFFF"/>
                <w:sz w:val="18"/>
              </w:rPr>
              <w:t>维度</w:t>
            </w:r>
          </w:p>
        </w:tc>
        <w:tc>
          <w:tcPr>
            <w:tcW w:type="dxa" w:w="4703"/>
            <w:shd w:fill="2B579A" w:val="clear"/>
          </w:tcPr>
          <w:p>
            <w:pPr>
              <w:jc w:val="center"/>
            </w:pPr>
            <w:r>
              <w:rPr>
                <w:rFonts w:ascii="微软雅黑" w:hAnsi="微软雅黑"/>
                <w:b/>
                <w:color w:val="FFFFFF"/>
                <w:sz w:val="18"/>
              </w:rPr>
              <w:t>说明</w:t>
            </w:r>
          </w:p>
        </w:tc>
      </w:tr>
      <w:tr>
        <w:tc>
          <w:tcPr>
            <w:tcW w:type="dxa" w:w="4703"/>
            <w:shd w:fill="F2F6FC" w:val="clear"/>
          </w:tcPr>
          <w:p>
            <w:r>
              <w:rPr>
                <w:rFonts w:ascii="微软雅黑" w:hAnsi="微软雅黑"/>
                <w:sz w:val="18"/>
              </w:rPr>
              <w:t>行业</w:t>
            </w:r>
          </w:p>
        </w:tc>
        <w:tc>
          <w:tcPr>
            <w:tcW w:type="dxa" w:w="4703"/>
            <w:shd w:fill="F2F6FC" w:val="clear"/>
          </w:tcPr>
          <w:p>
            <w:r>
              <w:rPr>
                <w:rFonts w:ascii="微软雅黑" w:hAnsi="微软雅黑"/>
                <w:sz w:val="18"/>
              </w:rPr>
              <w:t>政府、金融、运营商、教育、医疗、大企业</w:t>
            </w:r>
          </w:p>
        </w:tc>
      </w:tr>
      <w:tr>
        <w:tc>
          <w:tcPr>
            <w:tcW w:type="dxa" w:w="4703"/>
          </w:tcPr>
          <w:p>
            <w:r>
              <w:rPr>
                <w:rFonts w:ascii="微软雅黑" w:hAnsi="微软雅黑"/>
                <w:sz w:val="18"/>
              </w:rPr>
              <w:t>规模</w:t>
            </w:r>
          </w:p>
        </w:tc>
        <w:tc>
          <w:tcPr>
            <w:tcW w:type="dxa" w:w="4703"/>
          </w:tcPr>
          <w:p>
            <w:r>
              <w:rPr>
                <w:rFonts w:ascii="微软雅黑" w:hAnsi="微软雅黑"/>
                <w:sz w:val="18"/>
              </w:rPr>
              <w:t>500 终端以上的中大型组织</w:t>
            </w:r>
          </w:p>
        </w:tc>
      </w:tr>
      <w:tr>
        <w:tc>
          <w:tcPr>
            <w:tcW w:type="dxa" w:w="4703"/>
            <w:shd w:fill="F2F6FC" w:val="clear"/>
          </w:tcPr>
          <w:p>
            <w:r>
              <w:rPr>
                <w:rFonts w:ascii="微软雅黑" w:hAnsi="微软雅黑"/>
                <w:sz w:val="18"/>
              </w:rPr>
              <w:t>最终决策者</w:t>
            </w:r>
          </w:p>
        </w:tc>
        <w:tc>
          <w:tcPr>
            <w:tcW w:type="dxa" w:w="4703"/>
            <w:shd w:fill="F2F6FC" w:val="clear"/>
          </w:tcPr>
          <w:p>
            <w:r>
              <w:rPr>
                <w:rFonts w:ascii="微软雅黑" w:hAnsi="微软雅黑"/>
                <w:sz w:val="18"/>
              </w:rPr>
              <w:t>CIO / CISO / 信息化处长</w:t>
            </w:r>
          </w:p>
        </w:tc>
      </w:tr>
      <w:tr>
        <w:tc>
          <w:tcPr>
            <w:tcW w:type="dxa" w:w="4703"/>
          </w:tcPr>
          <w:p>
            <w:r>
              <w:rPr>
                <w:rFonts w:ascii="微软雅黑" w:hAnsi="微软雅黑"/>
                <w:sz w:val="18"/>
              </w:rPr>
              <w:t>技术决策者</w:t>
            </w:r>
          </w:p>
        </w:tc>
        <w:tc>
          <w:tcPr>
            <w:tcW w:type="dxa" w:w="4703"/>
          </w:tcPr>
          <w:p>
            <w:r>
              <w:rPr>
                <w:rFonts w:ascii="微软雅黑" w:hAnsi="微软雅黑"/>
                <w:sz w:val="18"/>
              </w:rPr>
              <w:t>网络安全负责人 / 信息中心主任</w:t>
            </w:r>
          </w:p>
        </w:tc>
      </w:tr>
      <w:tr>
        <w:tc>
          <w:tcPr>
            <w:tcW w:type="dxa" w:w="4703"/>
            <w:shd w:fill="F2F6FC" w:val="clear"/>
          </w:tcPr>
          <w:p>
            <w:r>
              <w:rPr>
                <w:rFonts w:ascii="微软雅黑" w:hAnsi="微软雅黑"/>
                <w:sz w:val="18"/>
              </w:rPr>
              <w:t>使用者</w:t>
            </w:r>
          </w:p>
        </w:tc>
        <w:tc>
          <w:tcPr>
            <w:tcW w:type="dxa" w:w="4703"/>
            <w:shd w:fill="F2F6FC" w:val="clear"/>
          </w:tcPr>
          <w:p>
            <w:r>
              <w:rPr>
                <w:rFonts w:ascii="微软雅黑" w:hAnsi="微软雅黑"/>
                <w:sz w:val="18"/>
              </w:rPr>
              <w:t>全体员工（远程/移动办公）、IT 运维人员</w:t>
            </w:r>
          </w:p>
        </w:tc>
      </w:tr>
      <w:tr>
        <w:tc>
          <w:tcPr>
            <w:tcW w:type="dxa" w:w="4703"/>
          </w:tcPr>
          <w:p>
            <w:r>
              <w:rPr>
                <w:rFonts w:ascii="微软雅黑" w:hAnsi="微软雅黑"/>
                <w:sz w:val="18"/>
              </w:rPr>
              <w:t>已有 IT 基础要求</w:t>
            </w:r>
          </w:p>
        </w:tc>
        <w:tc>
          <w:tcPr>
            <w:tcW w:type="dxa" w:w="4703"/>
          </w:tcPr>
          <w:p>
            <w:r>
              <w:rPr>
                <w:rFonts w:ascii="微软雅黑" w:hAnsi="微软雅黑"/>
                <w:sz w:val="18"/>
              </w:rPr>
              <w:t>建议配合深信服防火墙(AF)或已有 AD 域/统一身份认证系统</w:t>
            </w:r>
          </w:p>
        </w:tc>
      </w:tr>
    </w:tbl>
    <w:p/>
    <w:p>
      <w:pPr>
        <w:pStyle w:val="Heading2"/>
      </w:pPr>
      <w:r>
        <w:rPr>
          <w:rFonts w:ascii="微软雅黑" w:hAnsi="微软雅黑"/>
        </w:rPr>
        <w:t>核心痛点</w:t>
      </w:r>
    </w:p>
    <w:p>
      <w:r>
        <w:rPr>
          <w:rFonts w:ascii="微软雅黑" w:hAnsi="微软雅黑"/>
          <w:sz w:val="20"/>
        </w:rPr>
        <w:t>1. 远程办公安全不可控 — 员工在家/出差用 VPN 接入内网，终端安全状态不可见，一台"带毒"电脑连入内网就是炸弹</w:t>
      </w:r>
    </w:p>
    <w:p>
      <w:r>
        <w:rPr>
          <w:rFonts w:ascii="微软雅黑" w:hAnsi="微软雅黑"/>
          <w:sz w:val="20"/>
        </w:rPr>
        <w:t>2. 权限管控粒度过粗 — 传统 VPN 一接进来就是"全网通"，无法做到按应用、按数据级别细粒度授权</w:t>
      </w:r>
    </w:p>
    <w:p>
      <w:r>
        <w:rPr>
          <w:rFonts w:ascii="微软雅黑" w:hAnsi="微软雅黑"/>
          <w:sz w:val="20"/>
        </w:rPr>
        <w:t>3. 横向移动风险 — 攻破一个弱口令终端后可以在内网"横着走"，缺乏动态信任评估和持续校验</w:t>
      </w:r>
    </w:p>
    <w:p>
      <w:pPr>
        <w:pStyle w:val="Heading2"/>
      </w:pPr>
      <w:r>
        <w:rPr>
          <w:rFonts w:ascii="微软雅黑" w:hAnsi="微软雅黑"/>
        </w:rPr>
        <w:t>适用场景</w:t>
      </w:r>
    </w:p>
    <w:p>
      <w:r>
        <w:rPr>
          <w:rFonts w:ascii="微软雅黑" w:hAnsi="微软雅黑"/>
          <w:sz w:val="20"/>
        </w:rPr>
        <w:t>1. 远程/移动办公安全接入 — 替代传统 VPN，员工随时随地安全访问内部业务系统</w:t>
      </w:r>
    </w:p>
    <w:p>
      <w:r>
        <w:rPr>
          <w:rFonts w:ascii="微软雅黑" w:hAnsi="微软雅黑"/>
          <w:sz w:val="20"/>
        </w:rPr>
        <w:t>2. 护网/重保期间收缩攻击面 — 隐藏业务端口，所有访问必须经过身份+设备+行为的持续校验</w:t>
      </w:r>
    </w:p>
    <w:p>
      <w:r>
        <w:rPr>
          <w:rFonts w:ascii="微软雅黑" w:hAnsi="微软雅黑"/>
          <w:sz w:val="20"/>
        </w:rPr>
        <w:t>3. 内网业务系统分级管控 — 财务系统、研发代码库等核心资产单独授权，最小化权限原则落地</w:t>
      </w:r>
    </w:p>
    <w:p>
      <w:r>
        <w:br w:type="page"/>
      </w:r>
    </w:p>
    <w:p>
      <w:pPr>
        <w:pStyle w:val="Heading1"/>
      </w:pPr>
      <w:r>
        <w:rPr>
          <w:rFonts w:ascii="微软雅黑" w:hAnsi="微软雅黑"/>
        </w:rPr>
        <w:t>模块 3：技术架构</w:t>
      </w:r>
    </w:p>
    <w:p>
      <w:pPr>
        <w:ind w:left="567"/>
      </w:pPr>
      <w:r>
        <w:rPr>
          <w:rFonts w:ascii="Courier New" w:hAnsi="Courier New"/>
          <w:color w:val="333333"/>
          <w:sz w:val="16"/>
        </w:rPr>
        <w:t>┌──────────────────────────────────────────────────────────────────┐</w:t>
        <w:br/>
        <w:t>│                  深信服 aTrust 零信任架构简图                       │</w:t>
        <w:br/>
        <w:t>│                                                                    │</w:t>
        <w:br/>
        <w:t>│  ┌──────────────┐    ┌──────────────────┐    ┌─────────────────┐ │</w:t>
        <w:br/>
        <w:t>│  │   客户端层    │    │    零信任控制中心   │    │    业务代理层    │ │</w:t>
        <w:br/>
        <w:t>│  │              │    │                  │    │                 │ │</w:t>
        <w:br/>
        <w:t>│  │  aTrust App  │◄──►│  身份认证/授权引擎 │◄──►│  SDP 网关       │ │</w:t>
        <w:br/>
        <w:t>│  │  (Win/Mac/   │    │  动态信任评估引擎  │    │  应用代理/隧道   │ │</w:t>
        <w:br/>
        <w:t>│  │  iOS/Android)│    │  SPA 单包授权    │    │  负载均衡       │ │</w:t>
        <w:br/>
        <w:t>│  │              │    │  管理控制台       │    │                 │ │</w:t>
        <w:br/>
        <w:t>│  └──────────────┘    └────────┬─────────┘    └─────────────────┘ │</w:t>
        <w:br/>
        <w:t>│                               │                                    │</w:t>
        <w:br/>
        <w:t>│                        ┌──────┴──────┐                            │</w:t>
        <w:br/>
        <w:t>│                        │   联动生态    │                            │</w:t>
        <w:br/>
        <w:t>│                        │  AF·SIP·EDR │                            │</w:t>
        <w:br/>
        <w:t>│                        └─────────────┘                            │</w:t>
        <w:br/>
        <w:t>│                                                                    │</w:t>
        <w:br/>
        <w:t>│  关键依赖：AD/LDAP 或第三方 IAM 做身份源                             │</w:t>
        <w:br/>
        <w:t>│  技术亮点：SPA 单包授权先认证后连接 / 动态信任评估引擎 / 安全联动闭环   │</w:t>
        <w:br/>
        <w:t>└──────────────────────────────────────────────────────────────────┘</w:t>
      </w:r>
    </w:p>
    <w:tbl>
      <w:tblPr>
        <w:tblStyle w:val="TableGrid"/>
        <w:tblW w:type="auto" w:w="0"/>
        <w:jc w:val="center"/>
        <w:tblLook w:firstColumn="1" w:firstRow="1" w:lastColumn="0" w:lastRow="0" w:noHBand="0" w:noVBand="1" w:val="04A0"/>
      </w:tblPr>
      <w:tblGrid>
        <w:gridCol w:w="4703"/>
        <w:gridCol w:w="4703"/>
      </w:tblGrid>
      <w:tr>
        <w:tc>
          <w:tcPr>
            <w:tcW w:type="dxa" w:w="4703"/>
            <w:shd w:fill="2B579A" w:val="clear"/>
          </w:tcPr>
          <w:p>
            <w:pPr>
              <w:jc w:val="center"/>
            </w:pPr>
            <w:r>
              <w:rPr>
                <w:rFonts w:ascii="微软雅黑" w:hAnsi="微软雅黑"/>
                <w:b/>
                <w:color w:val="FFFFFF"/>
                <w:sz w:val="18"/>
              </w:rPr>
              <w:t>维度</w:t>
            </w:r>
          </w:p>
        </w:tc>
        <w:tc>
          <w:tcPr>
            <w:tcW w:type="dxa" w:w="4703"/>
            <w:shd w:fill="2B579A" w:val="clear"/>
          </w:tcPr>
          <w:p>
            <w:pPr>
              <w:jc w:val="center"/>
            </w:pPr>
            <w:r>
              <w:rPr>
                <w:rFonts w:ascii="微软雅黑" w:hAnsi="微软雅黑"/>
                <w:b/>
                <w:color w:val="FFFFFF"/>
                <w:sz w:val="18"/>
              </w:rPr>
              <w:t>说明</w:t>
            </w:r>
          </w:p>
        </w:tc>
      </w:tr>
      <w:tr>
        <w:tc>
          <w:tcPr>
            <w:tcW w:type="dxa" w:w="4703"/>
            <w:shd w:fill="F2F6FC" w:val="clear"/>
          </w:tcPr>
          <w:p>
            <w:r>
              <w:rPr>
                <w:rFonts w:ascii="微软雅黑" w:hAnsi="微软雅黑"/>
                <w:sz w:val="18"/>
              </w:rPr>
              <w:t>部署形态</w:t>
            </w:r>
          </w:p>
        </w:tc>
        <w:tc>
          <w:tcPr>
            <w:tcW w:type="dxa" w:w="4703"/>
            <w:shd w:fill="F2F6FC" w:val="clear"/>
          </w:tcPr>
          <w:p>
            <w:r>
              <w:rPr>
                <w:rFonts w:ascii="微软雅黑" w:hAnsi="微软雅黑"/>
                <w:sz w:val="18"/>
              </w:rPr>
              <w:t>纯软件 / 虚拟化部署（支持 VMware/HCI/KVM），无专用硬件</w:t>
            </w:r>
          </w:p>
        </w:tc>
      </w:tr>
      <w:tr>
        <w:tc>
          <w:tcPr>
            <w:tcW w:type="dxa" w:w="4703"/>
          </w:tcPr>
          <w:p>
            <w:r>
              <w:rPr>
                <w:rFonts w:ascii="微软雅黑" w:hAnsi="微软雅黑"/>
                <w:sz w:val="18"/>
              </w:rPr>
              <w:t>最小部署规格</w:t>
            </w:r>
          </w:p>
        </w:tc>
        <w:tc>
          <w:tcPr>
            <w:tcW w:type="dxa" w:w="4703"/>
          </w:tcPr>
          <w:p>
            <w:r>
              <w:rPr>
                <w:rFonts w:ascii="微软雅黑" w:hAnsi="微软雅黑"/>
                <w:sz w:val="18"/>
              </w:rPr>
              <w:t>控制中心 4C8G+100G，SDP 网关 4C8G+100G，生产环境建议 8C16G+200G 起步</w:t>
            </w:r>
          </w:p>
        </w:tc>
      </w:tr>
      <w:tr>
        <w:tc>
          <w:tcPr>
            <w:tcW w:type="dxa" w:w="4703"/>
            <w:shd w:fill="F2F6FC" w:val="clear"/>
          </w:tcPr>
          <w:p>
            <w:r>
              <w:rPr>
                <w:rFonts w:ascii="微软雅黑" w:hAnsi="微软雅黑"/>
                <w:sz w:val="18"/>
              </w:rPr>
              <w:t>集群/高可用</w:t>
            </w:r>
          </w:p>
        </w:tc>
        <w:tc>
          <w:tcPr>
            <w:tcW w:type="dxa" w:w="4703"/>
            <w:shd w:fill="F2F6FC" w:val="clear"/>
          </w:tcPr>
          <w:p>
            <w:r>
              <w:rPr>
                <w:rFonts w:ascii="微软雅黑" w:hAnsi="微软雅黑"/>
                <w:sz w:val="18"/>
              </w:rPr>
              <w:t>支持 HA 双机热备、多活集群部署</w:t>
            </w:r>
          </w:p>
        </w:tc>
      </w:tr>
      <w:tr>
        <w:tc>
          <w:tcPr>
            <w:tcW w:type="dxa" w:w="4703"/>
          </w:tcPr>
          <w:p>
            <w:r>
              <w:rPr>
                <w:rFonts w:ascii="微软雅黑" w:hAnsi="微软雅黑"/>
                <w:sz w:val="18"/>
              </w:rPr>
              <w:t>核心组件</w:t>
            </w:r>
          </w:p>
        </w:tc>
        <w:tc>
          <w:tcPr>
            <w:tcW w:type="dxa" w:w="4703"/>
          </w:tcPr>
          <w:p>
            <w:r>
              <w:rPr>
                <w:rFonts w:ascii="微软雅黑" w:hAnsi="微软雅黑"/>
                <w:sz w:val="18"/>
              </w:rPr>
              <w:t>aTrust 控制中心（策略/认证/管理）、SDP 网关（流量代理/隐藏业务）、aTrust 客户端</w:t>
            </w:r>
          </w:p>
        </w:tc>
      </w:tr>
      <w:tr>
        <w:tc>
          <w:tcPr>
            <w:tcW w:type="dxa" w:w="4703"/>
            <w:shd w:fill="F2F6FC" w:val="clear"/>
          </w:tcPr>
          <w:p>
            <w:r>
              <w:rPr>
                <w:rFonts w:ascii="微软雅黑" w:hAnsi="微软雅黑"/>
                <w:sz w:val="18"/>
              </w:rPr>
              <w:t>对外接口/协议</w:t>
            </w:r>
          </w:p>
        </w:tc>
        <w:tc>
          <w:tcPr>
            <w:tcW w:type="dxa" w:w="4703"/>
            <w:shd w:fill="F2F6FC" w:val="clear"/>
          </w:tcPr>
          <w:p>
            <w:r>
              <w:rPr>
                <w:rFonts w:ascii="微软雅黑" w:hAnsi="微软雅黑"/>
                <w:sz w:val="18"/>
              </w:rPr>
              <w:t>HTTPS 代理、SDP 协议（自研）、SPA/UDP、SAML/OIDC、REST API</w:t>
            </w:r>
          </w:p>
        </w:tc>
      </w:tr>
      <w:tr>
        <w:tc>
          <w:tcPr>
            <w:tcW w:type="dxa" w:w="4703"/>
          </w:tcPr>
          <w:p>
            <w:r>
              <w:rPr>
                <w:rFonts w:ascii="微软雅黑" w:hAnsi="微软雅黑"/>
                <w:sz w:val="18"/>
              </w:rPr>
              <w:t>关键依赖</w:t>
            </w:r>
          </w:p>
        </w:tc>
        <w:tc>
          <w:tcPr>
            <w:tcW w:type="dxa" w:w="4703"/>
          </w:tcPr>
          <w:p>
            <w:r>
              <w:rPr>
                <w:rFonts w:ascii="微软雅黑" w:hAnsi="微软雅黑"/>
                <w:sz w:val="18"/>
              </w:rPr>
              <w:t>身份源（AD/LDAP/第三方 IAM），如需联动需要深信服 AF/SIP/EDR</w:t>
            </w:r>
          </w:p>
        </w:tc>
      </w:tr>
      <w:tr>
        <w:tc>
          <w:tcPr>
            <w:tcW w:type="dxa" w:w="4703"/>
            <w:shd w:fill="F2F6FC" w:val="clear"/>
          </w:tcPr>
          <w:p>
            <w:r>
              <w:rPr>
                <w:rFonts w:ascii="微软雅黑" w:hAnsi="微软雅黑"/>
                <w:sz w:val="18"/>
              </w:rPr>
              <w:t>技术亮点 ①</w:t>
            </w:r>
          </w:p>
        </w:tc>
        <w:tc>
          <w:tcPr>
            <w:tcW w:type="dxa" w:w="4703"/>
            <w:shd w:fill="F2F6FC" w:val="clear"/>
          </w:tcPr>
          <w:p>
            <w:r>
              <w:rPr>
                <w:rFonts w:ascii="微软雅黑" w:hAnsi="微软雅黑"/>
                <w:sz w:val="18"/>
              </w:rPr>
              <w:t>SPA（单包授权）— 先敲门再开门，业务端口对未授权者完全隐身</w:t>
            </w:r>
          </w:p>
        </w:tc>
      </w:tr>
      <w:tr>
        <w:tc>
          <w:tcPr>
            <w:tcW w:type="dxa" w:w="4703"/>
          </w:tcPr>
          <w:p>
            <w:r>
              <w:rPr>
                <w:rFonts w:ascii="微软雅黑" w:hAnsi="微软雅黑"/>
                <w:sz w:val="18"/>
              </w:rPr>
              <w:t>技术亮点 ②</w:t>
            </w:r>
          </w:p>
        </w:tc>
        <w:tc>
          <w:tcPr>
            <w:tcW w:type="dxa" w:w="4703"/>
          </w:tcPr>
          <w:p>
            <w:r>
              <w:rPr>
                <w:rFonts w:ascii="微软雅黑" w:hAnsi="微软雅黑"/>
                <w:sz w:val="18"/>
              </w:rPr>
              <w:t>动态信任评估 — 综合身份、设备、行为、环境多维度持续打分，分数不够自动降权/阻断</w:t>
            </w:r>
          </w:p>
        </w:tc>
      </w:tr>
      <w:tr>
        <w:tc>
          <w:tcPr>
            <w:tcW w:type="dxa" w:w="4703"/>
            <w:shd w:fill="F2F6FC" w:val="clear"/>
          </w:tcPr>
          <w:p>
            <w:r>
              <w:rPr>
                <w:rFonts w:ascii="微软雅黑" w:hAnsi="微软雅黑"/>
                <w:sz w:val="18"/>
              </w:rPr>
              <w:t>技术亮点 ③</w:t>
            </w:r>
          </w:p>
        </w:tc>
        <w:tc>
          <w:tcPr>
            <w:tcW w:type="dxa" w:w="4703"/>
            <w:shd w:fill="F2F6FC" w:val="clear"/>
          </w:tcPr>
          <w:p>
            <w:r>
              <w:rPr>
                <w:rFonts w:ascii="微软雅黑" w:hAnsi="微软雅黑"/>
                <w:sz w:val="18"/>
              </w:rPr>
              <w:t>安全联动闭环 — aTrust 检测到威胁自动通知 AF 封堵，EDR 终端评分实时同步到零信任引擎</w:t>
            </w:r>
          </w:p>
        </w:tc>
      </w:tr>
      <w:tr>
        <w:tc>
          <w:tcPr>
            <w:tcW w:type="dxa" w:w="4703"/>
          </w:tcPr>
          <w:p>
            <w:r>
              <w:rPr>
                <w:rFonts w:ascii="微软雅黑" w:hAnsi="微软雅黑"/>
                <w:sz w:val="18"/>
              </w:rPr>
              <w:t>性能关键指标</w:t>
            </w:r>
          </w:p>
        </w:tc>
        <w:tc>
          <w:tcPr>
            <w:tcW w:type="dxa" w:w="4703"/>
          </w:tcPr>
          <w:p>
            <w:r>
              <w:rPr>
                <w:rFonts w:ascii="微软雅黑" w:hAnsi="微软雅黑"/>
                <w:sz w:val="18"/>
              </w:rPr>
              <w:t>单网关吞吐量最大 10Gbps+，并发连接 200 万+，新建连接 10 万+/秒，SPA 敲门时延 &lt; 20ms</w:t>
            </w:r>
          </w:p>
        </w:tc>
      </w:tr>
    </w:tbl>
    <w:p/>
    <w:p>
      <w:r>
        <w:rPr>
          <w:rFonts w:ascii="微软雅黑" w:hAnsi="微软雅黑"/>
          <w:b/>
          <w:color w:val="C0392B"/>
          <w:sz w:val="20"/>
        </w:rPr>
        <w:t>📌 售前要点：</w:t>
      </w:r>
      <w:r>
        <w:rPr>
          <w:rFonts w:ascii="微软雅黑" w:hAnsi="微软雅黑"/>
          <w:sz w:val="20"/>
        </w:rPr>
        <w:t>技术亮点不需要面面俱到，挑选 3 个最能打动客户、与竞品拉开差距的点重点讲。强调 SPA 端口隐藏 + 动态信任评估这两点，这是与传统 VPN 最大的技术代差。</w:t>
      </w:r>
    </w:p>
    <w:p>
      <w:r>
        <w:br w:type="page"/>
      </w:r>
    </w:p>
    <w:p>
      <w:pPr>
        <w:pStyle w:val="Heading1"/>
      </w:pPr>
      <w:r>
        <w:rPr>
          <w:rFonts w:ascii="微软雅黑" w:hAnsi="微软雅黑"/>
        </w:rPr>
        <w:t>模块 4：产品线关系</w:t>
      </w:r>
    </w:p>
    <w:p>
      <w:pPr>
        <w:pStyle w:val="Heading2"/>
      </w:pPr>
      <w:r>
        <w:rPr>
          <w:rFonts w:ascii="微软雅黑" w:hAnsi="微软雅黑"/>
        </w:rPr>
        <w:t>在众云网代理体系中的位置</w:t>
      </w:r>
    </w:p>
    <w:p>
      <w:pPr>
        <w:ind w:left="567"/>
      </w:pPr>
      <w:r>
        <w:rPr>
          <w:rFonts w:ascii="Courier New" w:hAnsi="Courier New"/>
          <w:color w:val="333333"/>
          <w:sz w:val="16"/>
        </w:rPr>
        <w:t xml:space="preserve">                 ┌─────────────────┐</w:t>
        <w:br/>
        <w:t xml:space="preserve">                 │   众云网代理线    │</w:t>
        <w:br/>
        <w:t xml:space="preserve">                 └────────┬────────┘</w:t>
        <w:br/>
        <w:t xml:space="preserve">            ┌─────────────┼─────────────┐</w:t>
        <w:br/>
        <w:t xml:space="preserve">            ▼             ▼             ▼</w:t>
        <w:br/>
        <w:t xml:space="preserve">       ┌─────────┐  ┌─────────┐  ┌─────────┐</w:t>
        <w:br/>
        <w:t xml:space="preserve">       │   网络   │  │IT基础设施 │  │   安全   │</w:t>
        <w:br/>
        <w:t xml:space="preserve">       └─────────┘  └─────────┘  └────┬────┘</w:t>
        <w:br/>
        <w:t xml:space="preserve">                                        │</w:t>
        <w:br/>
        <w:t xml:space="preserve">                              ┌─────────┼─────────┐</w:t>
        <w:br/>
        <w:t xml:space="preserve">                              ▼         ▼         ▼</w:t>
        <w:br/>
        <w:t xml:space="preserve">                        ┌─────────┐┌────────┐┌─────────┐</w:t>
        <w:br/>
        <w:t xml:space="preserve">                        │深信服AF ││深信服SIP││深信服AC  │</w:t>
        <w:br/>
        <w:t xml:space="preserve">                        │ 防火墙   ││ 态势感知││上网行为 │</w:t>
        <w:br/>
        <w:t xml:space="preserve">                        └─────────┘└────────┘└─────────┘</w:t>
        <w:br/>
        <w:t xml:space="preserve">                              │         │</w:t>
        <w:br/>
        <w:t xml:space="preserve">                              ▼         ▼</w:t>
        <w:br/>
        <w:t xml:space="preserve">                        ┌─────────────────┐</w:t>
        <w:br/>
        <w:t xml:space="preserve">                        │  🌟 深信服aTrust │</w:t>
        <w:br/>
        <w:t xml:space="preserve">                        │     零信任       │</w:t>
        <w:br/>
        <w:t xml:space="preserve">                        └─────────────────┘</w:t>
      </w:r>
    </w:p>
    <w:p>
      <w:pPr>
        <w:pStyle w:val="Heading2"/>
      </w:pPr>
      <w:r>
        <w:rPr>
          <w:rFonts w:ascii="微软雅黑" w:hAnsi="微软雅黑"/>
        </w:rPr>
        <w:t>关系矩阵</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val="clear"/>
          </w:tcPr>
          <w:p>
            <w:pPr>
              <w:jc w:val="center"/>
            </w:pPr>
            <w:r>
              <w:rPr>
                <w:rFonts w:ascii="微软雅黑" w:hAnsi="微软雅黑"/>
                <w:b/>
                <w:color w:val="FFFFFF"/>
                <w:sz w:val="18"/>
              </w:rPr>
              <w:t>已有产品</w:t>
            </w:r>
          </w:p>
        </w:tc>
        <w:tc>
          <w:tcPr>
            <w:tcW w:type="dxa" w:w="3135"/>
            <w:shd w:fill="2B579A" w:val="clear"/>
          </w:tcPr>
          <w:p>
            <w:pPr>
              <w:jc w:val="center"/>
            </w:pPr>
            <w:r>
              <w:rPr>
                <w:rFonts w:ascii="微软雅黑" w:hAnsi="微软雅黑"/>
                <w:b/>
                <w:color w:val="FFFFFF"/>
                <w:sz w:val="18"/>
              </w:rPr>
              <w:t>与新产品关系</w:t>
            </w:r>
          </w:p>
        </w:tc>
        <w:tc>
          <w:tcPr>
            <w:tcW w:type="dxa" w:w="3135"/>
            <w:shd w:fill="2B579A" w:val="clear"/>
          </w:tcPr>
          <w:p>
            <w:pPr>
              <w:jc w:val="center"/>
            </w:pPr>
            <w:r>
              <w:rPr>
                <w:rFonts w:ascii="微软雅黑" w:hAnsi="微软雅黑"/>
                <w:b/>
                <w:color w:val="FFFFFF"/>
                <w:sz w:val="18"/>
              </w:rPr>
              <w:t>说明</w:t>
            </w:r>
          </w:p>
        </w:tc>
      </w:tr>
      <w:tr>
        <w:tc>
          <w:tcPr>
            <w:tcW w:type="dxa" w:w="3135"/>
            <w:shd w:fill="F2F6FC" w:val="clear"/>
          </w:tcPr>
          <w:p>
            <w:r>
              <w:rPr>
                <w:rFonts w:ascii="微软雅黑" w:hAnsi="微软雅黑"/>
                <w:sz w:val="18"/>
              </w:rPr>
              <w:t>深信服 AF 防火墙</w:t>
            </w:r>
          </w:p>
        </w:tc>
        <w:tc>
          <w:tcPr>
            <w:tcW w:type="dxa" w:w="3135"/>
            <w:shd w:fill="F2F6FC" w:val="clear"/>
          </w:tcPr>
          <w:p>
            <w:r>
              <w:rPr>
                <w:rFonts w:ascii="微软雅黑" w:hAnsi="微软雅黑"/>
                <w:sz w:val="18"/>
              </w:rPr>
              <w:t>互补</w:t>
            </w:r>
          </w:p>
        </w:tc>
        <w:tc>
          <w:tcPr>
            <w:tcW w:type="dxa" w:w="3135"/>
            <w:shd w:fill="F2F6FC" w:val="clear"/>
          </w:tcPr>
          <w:p>
            <w:r>
              <w:rPr>
                <w:rFonts w:ascii="微软雅黑" w:hAnsi="微软雅黑"/>
                <w:sz w:val="18"/>
              </w:rPr>
              <w:t>aTrust+AF 联动：aTrust 发现威胁 → AF 自动封堵 IP，组合销售是最高利润方案</w:t>
            </w:r>
          </w:p>
        </w:tc>
      </w:tr>
      <w:tr>
        <w:tc>
          <w:tcPr>
            <w:tcW w:type="dxa" w:w="3135"/>
          </w:tcPr>
          <w:p>
            <w:r>
              <w:rPr>
                <w:rFonts w:ascii="微软雅黑" w:hAnsi="微软雅黑"/>
                <w:sz w:val="18"/>
              </w:rPr>
              <w:t>深信服 SIP 态势感知</w:t>
            </w:r>
          </w:p>
        </w:tc>
        <w:tc>
          <w:tcPr>
            <w:tcW w:type="dxa" w:w="3135"/>
          </w:tcPr>
          <w:p>
            <w:r>
              <w:rPr>
                <w:rFonts w:ascii="微软雅黑" w:hAnsi="微软雅黑"/>
                <w:sz w:val="18"/>
              </w:rPr>
              <w:t>互补</w:t>
            </w:r>
          </w:p>
        </w:tc>
        <w:tc>
          <w:tcPr>
            <w:tcW w:type="dxa" w:w="3135"/>
          </w:tcPr>
          <w:p>
            <w:r>
              <w:rPr>
                <w:rFonts w:ascii="微软雅黑" w:hAnsi="微软雅黑"/>
                <w:sz w:val="18"/>
              </w:rPr>
              <w:t>SIP 提供全网态势 + aTrust 提供零信任接入，护网场景黄金搭档</w:t>
            </w:r>
          </w:p>
        </w:tc>
      </w:tr>
      <w:tr>
        <w:tc>
          <w:tcPr>
            <w:tcW w:type="dxa" w:w="3135"/>
            <w:shd w:fill="F2F6FC" w:val="clear"/>
          </w:tcPr>
          <w:p>
            <w:r>
              <w:rPr>
                <w:rFonts w:ascii="微软雅黑" w:hAnsi="微软雅黑"/>
                <w:sz w:val="18"/>
              </w:rPr>
              <w:t>深信服 EDR</w:t>
            </w:r>
          </w:p>
        </w:tc>
        <w:tc>
          <w:tcPr>
            <w:tcW w:type="dxa" w:w="3135"/>
            <w:shd w:fill="F2F6FC" w:val="clear"/>
          </w:tcPr>
          <w:p>
            <w:r>
              <w:rPr>
                <w:rFonts w:ascii="微软雅黑" w:hAnsi="微软雅黑"/>
                <w:sz w:val="18"/>
              </w:rPr>
              <w:t>互补</w:t>
            </w:r>
          </w:p>
        </w:tc>
        <w:tc>
          <w:tcPr>
            <w:tcW w:type="dxa" w:w="3135"/>
            <w:shd w:fill="F2F6FC" w:val="clear"/>
          </w:tcPr>
          <w:p>
            <w:r>
              <w:rPr>
                <w:rFonts w:ascii="微软雅黑" w:hAnsi="微软雅黑"/>
                <w:sz w:val="18"/>
              </w:rPr>
              <w:t>EDR 终端安全评分 → 实时同步 aTrust 信任引擎，终端不安全自动拒绝接入</w:t>
            </w:r>
          </w:p>
        </w:tc>
      </w:tr>
      <w:tr>
        <w:tc>
          <w:tcPr>
            <w:tcW w:type="dxa" w:w="3135"/>
          </w:tcPr>
          <w:p>
            <w:r>
              <w:rPr>
                <w:rFonts w:ascii="微软雅黑" w:hAnsi="微软雅黑"/>
                <w:sz w:val="18"/>
              </w:rPr>
              <w:t>传统 VPN（非深信服）</w:t>
            </w:r>
          </w:p>
        </w:tc>
        <w:tc>
          <w:tcPr>
            <w:tcW w:type="dxa" w:w="3135"/>
          </w:tcPr>
          <w:p>
            <w:r>
              <w:rPr>
                <w:rFonts w:ascii="微软雅黑" w:hAnsi="微软雅黑"/>
                <w:sz w:val="18"/>
              </w:rPr>
              <w:t>替代</w:t>
            </w:r>
          </w:p>
        </w:tc>
        <w:tc>
          <w:tcPr>
            <w:tcW w:type="dxa" w:w="3135"/>
          </w:tcPr>
          <w:p>
            <w:r>
              <w:rPr>
                <w:rFonts w:ascii="微软雅黑" w:hAnsi="微软雅黑"/>
                <w:sz w:val="18"/>
              </w:rPr>
              <w:t>传统 VPN 替代升级为零信任，技术趋势使然</w:t>
            </w:r>
          </w:p>
        </w:tc>
      </w:tr>
      <w:tr>
        <w:tc>
          <w:tcPr>
            <w:tcW w:type="dxa" w:w="3135"/>
            <w:shd w:fill="F2F6FC" w:val="clear"/>
          </w:tcPr>
          <w:p>
            <w:r>
              <w:rPr>
                <w:rFonts w:ascii="微软雅黑" w:hAnsi="微软雅黑"/>
                <w:sz w:val="18"/>
              </w:rPr>
              <w:t>深信服 SSL VPN</w:t>
            </w:r>
          </w:p>
        </w:tc>
        <w:tc>
          <w:tcPr>
            <w:tcW w:type="dxa" w:w="3135"/>
            <w:shd w:fill="F2F6FC" w:val="clear"/>
          </w:tcPr>
          <w:p>
            <w:r>
              <w:rPr>
                <w:rFonts w:ascii="微软雅黑" w:hAnsi="微软雅黑"/>
                <w:sz w:val="18"/>
              </w:rPr>
              <w:t>升级</w:t>
            </w:r>
          </w:p>
        </w:tc>
        <w:tc>
          <w:tcPr>
            <w:tcW w:type="dxa" w:w="3135"/>
            <w:shd w:fill="F2F6FC" w:val="clear"/>
          </w:tcPr>
          <w:p>
            <w:r>
              <w:rPr>
                <w:rFonts w:ascii="微软雅黑" w:hAnsi="微软雅黑"/>
                <w:sz w:val="18"/>
              </w:rPr>
              <w:t>存量 VPN 客户是 aTrust 最直接的升级路径，平滑迁移</w:t>
            </w:r>
          </w:p>
        </w:tc>
      </w:tr>
    </w:tbl>
    <w:p/>
    <w:p>
      <w:r>
        <w:rPr>
          <w:rFonts w:ascii="微软雅黑" w:hAnsi="微软雅黑"/>
          <w:b/>
          <w:color w:val="C0392B"/>
          <w:sz w:val="20"/>
        </w:rPr>
        <w:t>📌 售前要点：</w:t>
      </w:r>
      <w:r>
        <w:rPr>
          <w:rFonts w:ascii="微软雅黑" w:hAnsi="微软雅黑"/>
          <w:sz w:val="20"/>
        </w:rPr>
        <w:t>如果客户已有深信服 AF/EDR，aTrust 是"生态扩展"而不是"另起炉灶"——这是最大的竞争壁垒。如果客户用别家安全产品，aTrust 也能独立运行，但联动能力是差异化卖点。</w:t>
      </w:r>
    </w:p>
    <w:p>
      <w:r>
        <w:br w:type="page"/>
      </w:r>
    </w:p>
    <w:p>
      <w:pPr>
        <w:pStyle w:val="Heading1"/>
      </w:pPr>
      <w:r>
        <w:rPr>
          <w:rFonts w:ascii="微软雅黑" w:hAnsi="微软雅黑"/>
        </w:rPr>
        <w:t>模块 5：核心功能 TOP 5</w:t>
      </w:r>
    </w:p>
    <w:p>
      <w:r>
        <w:rPr>
          <w:rFonts w:ascii="微软雅黑" w:hAnsi="微软雅黑"/>
          <w:sz w:val="20"/>
        </w:rPr>
        <w:t>按客户价值排序，非厂商宣传页顺序。每个功能附带场景和话术。</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B579A" w:val="clear"/>
          </w:tcPr>
          <w:p>
            <w:pPr>
              <w:jc w:val="center"/>
            </w:pPr>
            <w:r>
              <w:rPr>
                <w:rFonts w:ascii="微软雅黑" w:hAnsi="微软雅黑"/>
                <w:b/>
                <w:color w:val="FFFFFF"/>
                <w:sz w:val="18"/>
              </w:rPr>
              <w:t>序号</w:t>
            </w:r>
          </w:p>
        </w:tc>
        <w:tc>
          <w:tcPr>
            <w:tcW w:type="dxa" w:w="1881"/>
            <w:shd w:fill="2B579A" w:val="clear"/>
          </w:tcPr>
          <w:p>
            <w:pPr>
              <w:jc w:val="center"/>
            </w:pPr>
            <w:r>
              <w:rPr>
                <w:rFonts w:ascii="微软雅黑" w:hAnsi="微软雅黑"/>
                <w:b/>
                <w:color w:val="FFFFFF"/>
                <w:sz w:val="18"/>
              </w:rPr>
              <w:t>功能名称</w:t>
            </w:r>
          </w:p>
        </w:tc>
        <w:tc>
          <w:tcPr>
            <w:tcW w:type="dxa" w:w="1881"/>
            <w:shd w:fill="2B579A" w:val="clear"/>
          </w:tcPr>
          <w:p>
            <w:pPr>
              <w:jc w:val="center"/>
            </w:pPr>
            <w:r>
              <w:rPr>
                <w:rFonts w:ascii="微软雅黑" w:hAnsi="微软雅黑"/>
                <w:b/>
                <w:color w:val="FFFFFF"/>
                <w:sz w:val="18"/>
              </w:rPr>
              <w:t>解决什么问题</w:t>
            </w:r>
          </w:p>
        </w:tc>
        <w:tc>
          <w:tcPr>
            <w:tcW w:type="dxa" w:w="1881"/>
            <w:shd w:fill="2B579A" w:val="clear"/>
          </w:tcPr>
          <w:p>
            <w:pPr>
              <w:jc w:val="center"/>
            </w:pPr>
            <w:r>
              <w:rPr>
                <w:rFonts w:ascii="微软雅黑" w:hAnsi="微软雅黑"/>
                <w:b/>
                <w:color w:val="FFFFFF"/>
                <w:sz w:val="18"/>
              </w:rPr>
              <w:t>典型使用场景</w:t>
            </w:r>
          </w:p>
        </w:tc>
        <w:tc>
          <w:tcPr>
            <w:tcW w:type="dxa" w:w="1881"/>
            <w:shd w:fill="2B579A" w:val="clear"/>
          </w:tcPr>
          <w:p>
            <w:pPr>
              <w:jc w:val="center"/>
            </w:pPr>
            <w:r>
              <w:rPr>
                <w:rFonts w:ascii="微软雅黑" w:hAnsi="微软雅黑"/>
                <w:b/>
                <w:color w:val="FFFFFF"/>
                <w:sz w:val="18"/>
              </w:rPr>
              <w:t>一句话客户话术</w:t>
            </w:r>
          </w:p>
        </w:tc>
      </w:tr>
      <w:tr>
        <w:tc>
          <w:tcPr>
            <w:tcW w:type="dxa" w:w="1881"/>
            <w:shd w:fill="F2F6FC" w:val="clear"/>
          </w:tcPr>
          <w:p>
            <w:r>
              <w:rPr>
                <w:rFonts w:ascii="微软雅黑" w:hAnsi="微软雅黑"/>
                <w:sz w:val="18"/>
              </w:rPr>
              <w:t>1</w:t>
            </w:r>
          </w:p>
        </w:tc>
        <w:tc>
          <w:tcPr>
            <w:tcW w:type="dxa" w:w="1881"/>
            <w:shd w:fill="F2F6FC" w:val="clear"/>
          </w:tcPr>
          <w:p>
            <w:r>
              <w:rPr>
                <w:rFonts w:ascii="微软雅黑" w:hAnsi="微软雅黑"/>
                <w:sz w:val="18"/>
              </w:rPr>
              <w:t>SPA 单包授权 + 业务隐身</w:t>
            </w:r>
          </w:p>
        </w:tc>
        <w:tc>
          <w:tcPr>
            <w:tcW w:type="dxa" w:w="1881"/>
            <w:shd w:fill="F2F6FC" w:val="clear"/>
          </w:tcPr>
          <w:p>
            <w:r>
              <w:rPr>
                <w:rFonts w:ascii="微软雅黑" w:hAnsi="微软雅黑"/>
                <w:sz w:val="18"/>
              </w:rPr>
              <w:t>业务端口暴露在互联网被扫描/攻击，传统 VPN 端口是"活靶子"</w:t>
            </w:r>
          </w:p>
        </w:tc>
        <w:tc>
          <w:tcPr>
            <w:tcW w:type="dxa" w:w="1881"/>
            <w:shd w:fill="F2F6FC" w:val="clear"/>
          </w:tcPr>
          <w:p>
            <w:r>
              <w:rPr>
                <w:rFonts w:ascii="微软雅黑" w:hAnsi="微软雅黑"/>
                <w:sz w:val="18"/>
              </w:rPr>
              <w:t>暴露在公网的 OA/ERP/财务系统，先敲门验证身份再建立连接，非法请求在门口就被丢弃</w:t>
            </w:r>
          </w:p>
        </w:tc>
        <w:tc>
          <w:tcPr>
            <w:tcW w:type="dxa" w:w="1881"/>
            <w:shd w:fill="F2F6FC" w:val="clear"/>
          </w:tcPr>
          <w:p>
            <w:r>
              <w:rPr>
                <w:rFonts w:ascii="微软雅黑" w:hAnsi="微软雅黑"/>
                <w:sz w:val="18"/>
              </w:rPr>
              <w:t>"您现在的 VPN 端口暴露在公网上，每天被各种扫描器盯着打。我们用 SPA 单包授权机制，业务端口对外完全隐身，只有合法用户才能'敲门'建立连接。"</w:t>
            </w:r>
          </w:p>
        </w:tc>
      </w:tr>
      <w:tr>
        <w:tc>
          <w:tcPr>
            <w:tcW w:type="dxa" w:w="1881"/>
          </w:tcPr>
          <w:p>
            <w:r>
              <w:rPr>
                <w:rFonts w:ascii="微软雅黑" w:hAnsi="微软雅黑"/>
                <w:sz w:val="18"/>
              </w:rPr>
              <w:t>2</w:t>
            </w:r>
          </w:p>
        </w:tc>
        <w:tc>
          <w:tcPr>
            <w:tcW w:type="dxa" w:w="1881"/>
          </w:tcPr>
          <w:p>
            <w:r>
              <w:rPr>
                <w:rFonts w:ascii="微软雅黑" w:hAnsi="微软雅黑"/>
                <w:sz w:val="18"/>
              </w:rPr>
              <w:t>动态信任评估与持续校验</w:t>
            </w:r>
          </w:p>
        </w:tc>
        <w:tc>
          <w:tcPr>
            <w:tcW w:type="dxa" w:w="1881"/>
          </w:tcPr>
          <w:p>
            <w:r>
              <w:rPr>
                <w:rFonts w:ascii="微软雅黑" w:hAnsi="微软雅黑"/>
                <w:sz w:val="18"/>
              </w:rPr>
              <w:t>一次登录不等于一直可信，终端安全状态变化或行为异常应实时调整权限</w:t>
            </w:r>
          </w:p>
        </w:tc>
        <w:tc>
          <w:tcPr>
            <w:tcW w:type="dxa" w:w="1881"/>
          </w:tcPr>
          <w:p>
            <w:r>
              <w:rPr>
                <w:rFonts w:ascii="微软雅黑" w:hAnsi="微软雅黑"/>
                <w:sz w:val="18"/>
              </w:rPr>
              <w:t>员工电脑中了木马，零信任检测到终端风险评分下降，自动限制其只能访问低敏感业务</w:t>
            </w:r>
          </w:p>
        </w:tc>
        <w:tc>
          <w:tcPr>
            <w:tcW w:type="dxa" w:w="1881"/>
          </w:tcPr>
          <w:p>
            <w:r>
              <w:rPr>
                <w:rFonts w:ascii="微软雅黑" w:hAnsi="微软雅黑"/>
                <w:sz w:val="18"/>
              </w:rPr>
              <w:t>"传统的 VPN 登录一次就永远信任，但我们会对每个访问请求做持续校验。比如您的终端安全状态、登录地点、访问行为，任何一个维度出问题，系统都会自动收紧权限。"</w:t>
            </w:r>
          </w:p>
        </w:tc>
      </w:tr>
      <w:tr>
        <w:tc>
          <w:tcPr>
            <w:tcW w:type="dxa" w:w="1881"/>
            <w:shd w:fill="F2F6FC" w:val="clear"/>
          </w:tcPr>
          <w:p>
            <w:r>
              <w:rPr>
                <w:rFonts w:ascii="微软雅黑" w:hAnsi="微软雅黑"/>
                <w:sz w:val="18"/>
              </w:rPr>
              <w:t>3</w:t>
            </w:r>
          </w:p>
        </w:tc>
        <w:tc>
          <w:tcPr>
            <w:tcW w:type="dxa" w:w="1881"/>
            <w:shd w:fill="F2F6FC" w:val="clear"/>
          </w:tcPr>
          <w:p>
            <w:r>
              <w:rPr>
                <w:rFonts w:ascii="微软雅黑" w:hAnsi="微软雅黑"/>
                <w:sz w:val="18"/>
              </w:rPr>
              <w:t>最小化应用级权限管控</w:t>
            </w:r>
          </w:p>
        </w:tc>
        <w:tc>
          <w:tcPr>
            <w:tcW w:type="dxa" w:w="1881"/>
            <w:shd w:fill="F2F6FC" w:val="clear"/>
          </w:tcPr>
          <w:p>
            <w:r>
              <w:rPr>
                <w:rFonts w:ascii="微软雅黑" w:hAnsi="微软雅黑"/>
                <w:sz w:val="18"/>
              </w:rPr>
              <w:t>VPN 接入后"全网通"，一个账号被控制就能访问所有内网系统</w:t>
            </w:r>
          </w:p>
        </w:tc>
        <w:tc>
          <w:tcPr>
            <w:tcW w:type="dxa" w:w="1881"/>
            <w:shd w:fill="F2F6FC" w:val="clear"/>
          </w:tcPr>
          <w:p>
            <w:r>
              <w:rPr>
                <w:rFonts w:ascii="微软雅黑" w:hAnsi="微软雅黑"/>
                <w:sz w:val="18"/>
              </w:rPr>
              <w:t>外包人员只能访问指定的项目管理系统，无法访问财务系统或代码仓库</w:t>
            </w:r>
          </w:p>
        </w:tc>
        <w:tc>
          <w:tcPr>
            <w:tcW w:type="dxa" w:w="1881"/>
            <w:shd w:fill="F2F6FC" w:val="clear"/>
          </w:tcPr>
          <w:p>
            <w:r>
              <w:rPr>
                <w:rFonts w:ascii="微软雅黑" w:hAnsi="微软雅黑"/>
                <w:sz w:val="18"/>
              </w:rPr>
              <w:t>"外包人员只需要访问项目管理工具，您之前用 VPN 可能给了他整个内网的权限。零信任可以精确到应用级别，他只看得见、用得到该用的系统。"</w:t>
            </w:r>
          </w:p>
        </w:tc>
      </w:tr>
      <w:tr>
        <w:tc>
          <w:tcPr>
            <w:tcW w:type="dxa" w:w="1881"/>
          </w:tcPr>
          <w:p>
            <w:r>
              <w:rPr>
                <w:rFonts w:ascii="微软雅黑" w:hAnsi="微软雅黑"/>
                <w:sz w:val="18"/>
              </w:rPr>
              <w:t>4</w:t>
            </w:r>
          </w:p>
        </w:tc>
        <w:tc>
          <w:tcPr>
            <w:tcW w:type="dxa" w:w="1881"/>
          </w:tcPr>
          <w:p>
            <w:r>
              <w:rPr>
                <w:rFonts w:ascii="微软雅黑" w:hAnsi="微软雅黑"/>
                <w:sz w:val="18"/>
              </w:rPr>
              <w:t>多因素认证 MFA 集成</w:t>
            </w:r>
          </w:p>
        </w:tc>
        <w:tc>
          <w:tcPr>
            <w:tcW w:type="dxa" w:w="1881"/>
          </w:tcPr>
          <w:p>
            <w:r>
              <w:rPr>
                <w:rFonts w:ascii="微软雅黑" w:hAnsi="微软雅黑"/>
                <w:sz w:val="18"/>
              </w:rPr>
              <w:t>单一密码验证太弱，弱口令/撞库是安全事件第一入口</w:t>
            </w:r>
          </w:p>
        </w:tc>
        <w:tc>
          <w:tcPr>
            <w:tcW w:type="dxa" w:w="1881"/>
          </w:tcPr>
          <w:p>
            <w:r>
              <w:rPr>
                <w:rFonts w:ascii="微软雅黑" w:hAnsi="微软雅黑"/>
                <w:sz w:val="18"/>
              </w:rPr>
              <w:t>与钉钉/企业微信/飞书扫码登录打通，或短信/硬件 Token 二次验证</w:t>
            </w:r>
          </w:p>
        </w:tc>
        <w:tc>
          <w:tcPr>
            <w:tcW w:type="dxa" w:w="1881"/>
          </w:tcPr>
          <w:p>
            <w:r>
              <w:rPr>
                <w:rFonts w:ascii="微软雅黑" w:hAnsi="微软雅黑"/>
                <w:sz w:val="18"/>
              </w:rPr>
              <w:t>"我们可以和你们现有的钉钉、企业微信无缝打通，登录时直接扫码认证，既安全又方便，员工也不用再记一套密码。"</w:t>
            </w:r>
          </w:p>
        </w:tc>
      </w:tr>
      <w:tr>
        <w:tc>
          <w:tcPr>
            <w:tcW w:type="dxa" w:w="1881"/>
            <w:shd w:fill="F2F6FC" w:val="clear"/>
          </w:tcPr>
          <w:p>
            <w:r>
              <w:rPr>
                <w:rFonts w:ascii="微软雅黑" w:hAnsi="微软雅黑"/>
                <w:sz w:val="18"/>
              </w:rPr>
              <w:t>5</w:t>
            </w:r>
          </w:p>
        </w:tc>
        <w:tc>
          <w:tcPr>
            <w:tcW w:type="dxa" w:w="1881"/>
            <w:shd w:fill="F2F6FC" w:val="clear"/>
          </w:tcPr>
          <w:p>
            <w:r>
              <w:rPr>
                <w:rFonts w:ascii="微软雅黑" w:hAnsi="微软雅黑"/>
                <w:sz w:val="18"/>
              </w:rPr>
              <w:t>全流量审计与溯源</w:t>
            </w:r>
          </w:p>
        </w:tc>
        <w:tc>
          <w:tcPr>
            <w:tcW w:type="dxa" w:w="1881"/>
            <w:shd w:fill="F2F6FC" w:val="clear"/>
          </w:tcPr>
          <w:p>
            <w:r>
              <w:rPr>
                <w:rFonts w:ascii="微软雅黑" w:hAnsi="微软雅黑"/>
                <w:sz w:val="18"/>
              </w:rPr>
              <w:t>谁、在什么设备、什么时候、访问了什么、做了什么操作，出事后无法追溯</w:t>
            </w:r>
          </w:p>
        </w:tc>
        <w:tc>
          <w:tcPr>
            <w:tcW w:type="dxa" w:w="1881"/>
            <w:shd w:fill="F2F6FC" w:val="clear"/>
          </w:tcPr>
          <w:p>
            <w:r>
              <w:rPr>
                <w:rFonts w:ascii="微软雅黑" w:hAnsi="微软雅黑"/>
                <w:sz w:val="18"/>
              </w:rPr>
              <w:t>护网/等保合规需要完整的访问日志，安全事件发生后分钟级定位到人</w:t>
            </w:r>
          </w:p>
        </w:tc>
        <w:tc>
          <w:tcPr>
            <w:tcW w:type="dxa" w:w="1881"/>
            <w:shd w:fill="F2F6FC" w:val="clear"/>
          </w:tcPr>
          <w:p>
            <w:r>
              <w:rPr>
                <w:rFonts w:ascii="微软雅黑" w:hAnsi="微软雅黑"/>
                <w:sz w:val="18"/>
              </w:rPr>
              <w:t>"等保和护网对访问审计有明确要求。aTrust 可以提供全流量、全操作的审计日志，事后溯源可以精确到'某人在某台设备上对某个系统做了哪个操作'。"</w:t>
            </w:r>
          </w:p>
        </w:tc>
      </w:tr>
    </w:tbl>
    <w:p/>
    <w:p>
      <w:r>
        <w:rPr>
          <w:rFonts w:ascii="微软雅黑" w:hAnsi="微软雅黑"/>
          <w:b/>
          <w:color w:val="C0392B"/>
          <w:sz w:val="20"/>
        </w:rPr>
        <w:t>📌 售前要点：</w:t>
      </w:r>
      <w:r>
        <w:rPr>
          <w:rFonts w:ascii="微软雅黑" w:hAnsi="微软雅黑"/>
          <w:sz w:val="20"/>
        </w:rPr>
        <w:t>话术公式（SCQA 框架）："很多客户的 [场景/部门] 经常遇到 [痛点] 的问题。我们这个产品的 [功能] 通过 [技术手段] 来解决，最终能帮您实现 [可量化的收益]。我们之前帮 [客户案例] 也做过类似的..."</w:t>
      </w:r>
    </w:p>
    <w:p>
      <w:r>
        <w:br w:type="page"/>
      </w:r>
    </w:p>
    <w:p>
      <w:pPr>
        <w:pStyle w:val="Heading1"/>
      </w:pPr>
      <w:r>
        <w:rPr>
          <w:rFonts w:ascii="微软雅黑" w:hAnsi="微软雅黑"/>
        </w:rPr>
        <w:t>模块 6：FAQ 高频问答</w:t>
      </w:r>
    </w:p>
    <w:p>
      <w:pPr>
        <w:pStyle w:val="Heading2"/>
      </w:pPr>
      <w:r>
        <w:rPr>
          <w:rFonts w:ascii="微软雅黑" w:hAnsi="微软雅黑"/>
        </w:rPr>
        <w:t>通用必问</w:t>
      </w:r>
    </w:p>
    <w:p>
      <w:r>
        <w:rPr>
          <w:rFonts w:ascii="微软雅黑" w:hAnsi="微软雅黑"/>
          <w:b/>
          <w:sz w:val="20"/>
        </w:rPr>
        <w:t>1. Q：你们和奇安信/山石/天融信的零信任比有什么优势？</w:t>
      </w:r>
    </w:p>
    <w:p>
      <w:r>
        <w:rPr>
          <w:rFonts w:ascii="微软雅黑" w:hAnsi="微软雅黑"/>
          <w:sz w:val="20"/>
        </w:rPr>
        <w:t xml:space="preserve">   A："这个问题问得很好。深信服最大的优势是安全生态联动——我们的零信任不是孤立产品，而是可以和深信服防火墙、态势感知、EDR 终端安全联动。终端被检测到风险，零信任立刻收紧权限；零信任发现异常访问，防火墙自动封堵 IP。这是单一零信任厂商做不到的闭环。"</w:t>
      </w:r>
    </w:p>
    <w:p>
      <w:r>
        <w:rPr>
          <w:rFonts w:ascii="微软雅黑" w:hAnsi="微软雅黑"/>
          <w:b/>
          <w:sz w:val="20"/>
        </w:rPr>
        <w:t>2. Q：这个产品部署复杂吗？对我们的业务有什么影响？</w:t>
      </w:r>
    </w:p>
    <w:p>
      <w:r>
        <w:rPr>
          <w:rFonts w:ascii="微软雅黑" w:hAnsi="微软雅黑"/>
          <w:sz w:val="20"/>
        </w:rPr>
        <w:t xml:space="preserve">   A："部署分两步：先部署控制中心和网关，纯软件部署，半天搞定；然后逐步把业务系统发布到零信任平台。关键是不需要改现有网络架构，旁路部署即可。对业务影响方面，SPA 敲门时延 &lt; 20ms，用户基本无感知。"</w:t>
      </w:r>
    </w:p>
    <w:p>
      <w:r>
        <w:rPr>
          <w:rFonts w:ascii="微软雅黑" w:hAnsi="微软雅黑"/>
          <w:b/>
          <w:sz w:val="20"/>
        </w:rPr>
        <w:t>3. Q：价格怎么样？License 怎么算？</w:t>
      </w:r>
    </w:p>
    <w:p>
      <w:r>
        <w:rPr>
          <w:rFonts w:ascii="微软雅黑" w:hAnsi="微软雅黑"/>
          <w:sz w:val="20"/>
        </w:rPr>
        <w:t xml:space="preserve">   A："按并发用户数授权，基础版、标准版、高级版三个档位。基础版覆盖 SPA+应用代理+基础认证；标准版增加动态信任评估+MFA；高级版包含安全联动+全流量审计+API 集成。建议根据实际并发数选型，我们会给到渠道优势价。"</w:t>
      </w:r>
    </w:p>
    <w:p>
      <w:r>
        <w:rPr>
          <w:rFonts w:ascii="微软雅黑" w:hAnsi="微软雅黑"/>
          <w:b/>
          <w:sz w:val="20"/>
        </w:rPr>
        <w:t>4. Q：后续运维需要几个人？需要什么技能？</w:t>
      </w:r>
    </w:p>
    <w:p>
      <w:r>
        <w:rPr>
          <w:rFonts w:ascii="微软雅黑" w:hAnsi="微软雅黑"/>
          <w:sz w:val="20"/>
        </w:rPr>
        <w:t xml:space="preserve">   A："日常运维一个人兼职即可，主要是管理应用发布和用户授权。如果配合深信服防火墙使用，运维人员不需要额外技能，管理界面统一。我们会提供首次部署服务 + 培训，一周内运维人员可以独立操作。"</w:t>
      </w:r>
    </w:p>
    <w:p>
      <w:r>
        <w:rPr>
          <w:rFonts w:ascii="微软雅黑" w:hAnsi="微软雅黑"/>
          <w:b/>
          <w:sz w:val="20"/>
        </w:rPr>
        <w:t>5. Q：出了故障怎么办？响应时效如何？</w:t>
      </w:r>
    </w:p>
    <w:p>
      <w:r>
        <w:rPr>
          <w:rFonts w:ascii="微软雅黑" w:hAnsi="微软雅黑"/>
          <w:sz w:val="20"/>
        </w:rPr>
        <w:t xml:space="preserve">   A："深信服在全国有 50+ 办事处，7×24 热线、远程和现场三级响应。标准维保 5×8 次日现场，金牌服务 7×24 四小时到场。我们众云网作为本地代理商，也能提供第一时间的现场支持。"</w:t>
      </w:r>
    </w:p>
    <w:p>
      <w:pPr>
        <w:pStyle w:val="Heading2"/>
      </w:pPr>
      <w:r>
        <w:rPr>
          <w:rFonts w:ascii="微软雅黑" w:hAnsi="微软雅黑"/>
        </w:rPr>
        <w:t>安全品类追加</w:t>
      </w:r>
    </w:p>
    <w:p>
      <w:r>
        <w:rPr>
          <w:rFonts w:ascii="微软雅黑" w:hAnsi="微软雅黑"/>
          <w:b/>
          <w:sz w:val="20"/>
        </w:rPr>
        <w:t>6. Q：对现有网络的性能影响有多大？有没有旁路模式？</w:t>
      </w:r>
    </w:p>
    <w:p>
      <w:r>
        <w:rPr>
          <w:rFonts w:ascii="微软雅黑" w:hAnsi="微软雅黑"/>
          <w:sz w:val="20"/>
        </w:rPr>
        <w:t xml:space="preserve">   A："SDP 网关支持反向代理模式部署，不需要串接在网络中，对现有网络零改动。性能方面，单网关支持 10Gbps 吞吐，平峰时延增加 &lt; 5ms，用户基本感知不到差异。"</w:t>
      </w:r>
    </w:p>
    <w:p>
      <w:r>
        <w:rPr>
          <w:rFonts w:ascii="微软雅黑" w:hAnsi="微软雅黑"/>
          <w:b/>
          <w:sz w:val="20"/>
        </w:rPr>
        <w:t>7. Q：等保/护网/行业合规能覆盖哪些条款？有没有通过相关认证？</w:t>
      </w:r>
    </w:p>
    <w:p>
      <w:r>
        <w:rPr>
          <w:rFonts w:ascii="微软雅黑" w:hAnsi="微软雅黑"/>
          <w:sz w:val="20"/>
        </w:rPr>
        <w:t xml:space="preserve">   A："深信服 aTrust 覆盖等保 2.0 三级中关于访问控制、身份鉴别、安全审计、通信保密等条款，通过公安部销售许可证、国密局商用密码产品认证。零信任本身也是等保 2.0 推荐的新技术方向。"</w:t>
      </w:r>
    </w:p>
    <w:p>
      <w:r>
        <w:rPr>
          <w:rFonts w:ascii="微软雅黑" w:hAnsi="微软雅黑"/>
          <w:b/>
          <w:sz w:val="20"/>
        </w:rPr>
        <w:t>8. Q：误报率高不高？规则能不能自定义？</w:t>
      </w:r>
    </w:p>
    <w:p>
      <w:r>
        <w:rPr>
          <w:rFonts w:ascii="微软雅黑" w:hAnsi="微软雅黑"/>
          <w:sz w:val="20"/>
        </w:rPr>
        <w:t xml:space="preserve">   A："动态信任评估不是基于签名的，而是基于多维度打分模型，所以不存在传统意义上的'误报'。如果终端安全评分低，不是误判而是确实有风险。信任策略可以完全自定义——比如您可以设置'非工作时间从境外登录自动拒绝'。"</w:t>
      </w:r>
    </w:p>
    <w:p>
      <w:r>
        <w:rPr>
          <w:rFonts w:ascii="微软雅黑" w:hAnsi="微软雅黑"/>
          <w:b/>
          <w:sz w:val="20"/>
        </w:rPr>
        <w:t>9. Q：终端 Agent 对业务服务器的性能影响？</w:t>
      </w:r>
    </w:p>
    <w:p>
      <w:r>
        <w:rPr>
          <w:rFonts w:ascii="微软雅黑" w:hAnsi="微软雅黑"/>
          <w:sz w:val="20"/>
        </w:rPr>
        <w:t xml:space="preserve">   A："aTrust 客户端是轻量级 Agent，内存占用约 50MB，CPU 占用 &lt; 1%。服务器端不需要装 Agent，SDP 网关做反向代理。整体资源开销非常低。"</w:t>
      </w:r>
    </w:p>
    <w:p>
      <w:r>
        <w:rPr>
          <w:rFonts w:ascii="微软雅黑" w:hAnsi="微软雅黑"/>
          <w:b/>
          <w:sz w:val="20"/>
        </w:rPr>
        <w:t>10. Q：如果被攻击了，你们的应急响应流程是什么？</w:t>
      </w:r>
    </w:p>
    <w:p>
      <w:r>
        <w:rPr>
          <w:rFonts w:ascii="微软雅黑" w:hAnsi="微软雅黑"/>
          <w:sz w:val="20"/>
        </w:rPr>
        <w:t xml:space="preserve">   A："第一层是 SPA 默认防御——端口不暴露，大多数攻击根本找不到目标。第二层是动态信任评估自动降权或阻断。第三层是与 AF 防火墙联动自动封堵。如果仍然出现安全事件，深信服有 MSS 安全托管服务 7×24 监测，我们本地团队也可以 2 小时内到达现场。"</w:t>
      </w:r>
    </w:p>
    <w:p>
      <w:r>
        <w:rPr>
          <w:rFonts w:ascii="微软雅黑" w:hAnsi="微软雅黑"/>
          <w:b/>
          <w:color w:val="C0392B"/>
          <w:sz w:val="20"/>
        </w:rPr>
        <w:t>📌 售前要点：</w:t>
      </w:r>
      <w:r>
        <w:rPr>
          <w:rFonts w:ascii="微软雅黑" w:hAnsi="微软雅黑"/>
          <w:sz w:val="20"/>
        </w:rPr>
        <w:t>回答 FAQ 时记住"先接住再转弯"——先认同客户关切（"这个问题问得很好"），再给出专业回应。</w:t>
      </w:r>
    </w:p>
    <w:p>
      <w:r>
        <w:br w:type="page"/>
      </w:r>
    </w:p>
    <w:p>
      <w:pPr>
        <w:pStyle w:val="Heading1"/>
      </w:pPr>
      <w:r>
        <w:rPr>
          <w:rFonts w:ascii="微软雅黑" w:hAnsi="微软雅黑"/>
        </w:rPr>
        <w:t>模块 7：竞品矩阵</w:t>
      </w:r>
    </w:p>
    <w:p>
      <w:r>
        <w:rPr>
          <w:rFonts w:ascii="微软雅黑" w:hAnsi="微软雅黑"/>
          <w:sz w:val="20"/>
        </w:rPr>
        <w:t>选出 3 家主要竞品进行全面横向对比。</w:t>
      </w:r>
    </w:p>
    <w:p>
      <w:pPr>
        <w:pStyle w:val="Heading2"/>
      </w:pPr>
      <w:r>
        <w:rPr>
          <w:rFonts w:ascii="微软雅黑" w:hAnsi="微软雅黑"/>
        </w:rPr>
        <w:t>对比维度（安全品类权重）</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2B579A" w:val="clear"/>
          </w:tcPr>
          <w:p>
            <w:pPr>
              <w:jc w:val="center"/>
            </w:pPr>
            <w:r>
              <w:rPr>
                <w:rFonts w:ascii="微软雅黑" w:hAnsi="微软雅黑"/>
                <w:b/>
                <w:color w:val="FFFFFF"/>
                <w:sz w:val="18"/>
              </w:rPr>
              <w:t>维度</w:t>
            </w:r>
          </w:p>
        </w:tc>
        <w:tc>
          <w:tcPr>
            <w:tcW w:type="dxa" w:w="1568"/>
            <w:shd w:fill="2B579A" w:val="clear"/>
          </w:tcPr>
          <w:p>
            <w:pPr>
              <w:jc w:val="center"/>
            </w:pPr>
            <w:r>
              <w:rPr>
                <w:rFonts w:ascii="微软雅黑" w:hAnsi="微软雅黑"/>
                <w:b/>
                <w:color w:val="FFFFFF"/>
                <w:sz w:val="18"/>
              </w:rPr>
              <w:t>权重</w:t>
            </w:r>
          </w:p>
        </w:tc>
        <w:tc>
          <w:tcPr>
            <w:tcW w:type="dxa" w:w="1568"/>
            <w:shd w:fill="2B579A" w:val="clear"/>
          </w:tcPr>
          <w:p>
            <w:pPr>
              <w:jc w:val="center"/>
            </w:pPr>
            <w:r>
              <w:rPr>
                <w:rFonts w:ascii="微软雅黑" w:hAnsi="微软雅黑"/>
                <w:b/>
                <w:color w:val="FFFFFF"/>
                <w:sz w:val="18"/>
              </w:rPr>
              <w:t>深信服 aTrust</w:t>
            </w:r>
          </w:p>
        </w:tc>
        <w:tc>
          <w:tcPr>
            <w:tcW w:type="dxa" w:w="1568"/>
            <w:shd w:fill="2B579A" w:val="clear"/>
          </w:tcPr>
          <w:p>
            <w:pPr>
              <w:jc w:val="center"/>
            </w:pPr>
            <w:r>
              <w:rPr>
                <w:rFonts w:ascii="微软雅黑" w:hAnsi="微软雅黑"/>
                <w:b/>
                <w:color w:val="FFFFFF"/>
                <w:sz w:val="18"/>
              </w:rPr>
              <w:t>奇安信 TZ</w:t>
            </w:r>
          </w:p>
        </w:tc>
        <w:tc>
          <w:tcPr>
            <w:tcW w:type="dxa" w:w="1568"/>
            <w:shd w:fill="2B579A" w:val="clear"/>
          </w:tcPr>
          <w:p>
            <w:pPr>
              <w:jc w:val="center"/>
            </w:pPr>
            <w:r>
              <w:rPr>
                <w:rFonts w:ascii="微软雅黑" w:hAnsi="微软雅黑"/>
                <w:b/>
                <w:color w:val="FFFFFF"/>
                <w:sz w:val="18"/>
              </w:rPr>
              <w:t>山石网科</w:t>
            </w:r>
          </w:p>
        </w:tc>
        <w:tc>
          <w:tcPr>
            <w:tcW w:type="dxa" w:w="1568"/>
            <w:shd w:fill="2B579A" w:val="clear"/>
          </w:tcPr>
          <w:p>
            <w:pPr>
              <w:jc w:val="center"/>
            </w:pPr>
            <w:r>
              <w:rPr>
                <w:rFonts w:ascii="微软雅黑" w:hAnsi="微软雅黑"/>
                <w:b/>
                <w:color w:val="FFFFFF"/>
                <w:sz w:val="18"/>
              </w:rPr>
              <w:t>天融信 ZTNA</w:t>
            </w:r>
          </w:p>
        </w:tc>
      </w:tr>
      <w:tr>
        <w:tc>
          <w:tcPr>
            <w:tcW w:type="dxa" w:w="1568"/>
            <w:shd w:fill="F2F6FC" w:val="clear"/>
          </w:tcPr>
          <w:p>
            <w:r>
              <w:rPr>
                <w:rFonts w:ascii="微软雅黑" w:hAnsi="微软雅黑"/>
                <w:sz w:val="18"/>
              </w:rPr>
              <w:t>零信任架构完整度</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r>
      <w:tr>
        <w:tc>
          <w:tcPr>
            <w:tcW w:type="dxa" w:w="1568"/>
          </w:tcPr>
          <w:p>
            <w:r>
              <w:rPr>
                <w:rFonts w:ascii="微软雅黑" w:hAnsi="微软雅黑"/>
                <w:sz w:val="18"/>
              </w:rPr>
              <w:t>安全生态联动</w:t>
            </w:r>
          </w:p>
        </w:tc>
        <w:tc>
          <w:tcPr>
            <w:tcW w:type="dxa" w:w="1568"/>
          </w:tcPr>
          <w:p>
            <w:r>
              <w:rPr>
                <w:rFonts w:ascii="微软雅黑" w:hAnsi="微软雅黑"/>
                <w:sz w:val="18"/>
              </w:rPr>
              <w:t>★★★★★</w:t>
            </w:r>
          </w:p>
        </w:tc>
        <w:tc>
          <w:tcPr>
            <w:tcW w:type="dxa" w:w="1568"/>
          </w:tcPr>
          <w:p>
            <w:r>
              <w:rPr>
                <w:rFonts w:ascii="微软雅黑" w:hAnsi="微软雅黑"/>
                <w:sz w:val="18"/>
              </w:rPr>
              <w:t>★★★★★</w:t>
            </w:r>
          </w:p>
        </w:tc>
        <w:tc>
          <w:tcPr>
            <w:tcW w:type="dxa" w:w="1568"/>
          </w:tcPr>
          <w:p>
            <w:r>
              <w:rPr>
                <w:rFonts w:ascii="微软雅黑" w:hAnsi="微软雅黑"/>
                <w:sz w:val="18"/>
              </w:rPr>
              <w:t>★★★★☆</w:t>
            </w:r>
          </w:p>
        </w:tc>
        <w:tc>
          <w:tcPr>
            <w:tcW w:type="dxa" w:w="1568"/>
          </w:tcPr>
          <w:p>
            <w:r>
              <w:rPr>
                <w:rFonts w:ascii="微软雅黑" w:hAnsi="微软雅黑"/>
                <w:sz w:val="18"/>
              </w:rPr>
              <w:t>★★★☆☆</w:t>
            </w:r>
          </w:p>
        </w:tc>
        <w:tc>
          <w:tcPr>
            <w:tcW w:type="dxa" w:w="1568"/>
          </w:tcPr>
          <w:p>
            <w:r>
              <w:rPr>
                <w:rFonts w:ascii="微软雅黑" w:hAnsi="微软雅黑"/>
                <w:sz w:val="18"/>
              </w:rPr>
              <w:t>★★★☆☆</w:t>
            </w:r>
          </w:p>
        </w:tc>
      </w:tr>
      <w:tr>
        <w:tc>
          <w:tcPr>
            <w:tcW w:type="dxa" w:w="1568"/>
            <w:shd w:fill="F2F6FC" w:val="clear"/>
          </w:tcPr>
          <w:p>
            <w:r>
              <w:rPr>
                <w:rFonts w:ascii="微软雅黑" w:hAnsi="微软雅黑"/>
                <w:sz w:val="18"/>
              </w:rPr>
              <w:t>部署复杂度</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r>
      <w:tr>
        <w:tc>
          <w:tcPr>
            <w:tcW w:type="dxa" w:w="1568"/>
          </w:tcPr>
          <w:p>
            <w:r>
              <w:rPr>
                <w:rFonts w:ascii="微软雅黑" w:hAnsi="微软雅黑"/>
                <w:sz w:val="18"/>
              </w:rPr>
              <w:t>终端安全集成</w:t>
            </w:r>
          </w:p>
        </w:tc>
        <w:tc>
          <w:tcPr>
            <w:tcW w:type="dxa" w:w="1568"/>
          </w:tcPr>
          <w:p>
            <w:r>
              <w:rPr>
                <w:rFonts w:ascii="微软雅黑" w:hAnsi="微软雅黑"/>
                <w:sz w:val="18"/>
              </w:rPr>
              <w:t>★★★★</w:t>
            </w:r>
          </w:p>
        </w:tc>
        <w:tc>
          <w:tcPr>
            <w:tcW w:type="dxa" w:w="1568"/>
          </w:tcPr>
          <w:p>
            <w:r>
              <w:rPr>
                <w:rFonts w:ascii="微软雅黑" w:hAnsi="微软雅黑"/>
                <w:sz w:val="18"/>
              </w:rPr>
              <w:t>★★★★★</w:t>
            </w:r>
          </w:p>
        </w:tc>
        <w:tc>
          <w:tcPr>
            <w:tcW w:type="dxa" w:w="1568"/>
          </w:tcPr>
          <w:p>
            <w:r>
              <w:rPr>
                <w:rFonts w:ascii="微软雅黑" w:hAnsi="微软雅黑"/>
                <w:sz w:val="18"/>
              </w:rPr>
              <w:t>★★★★★</w:t>
            </w:r>
          </w:p>
        </w:tc>
        <w:tc>
          <w:tcPr>
            <w:tcW w:type="dxa" w:w="1568"/>
          </w:tcPr>
          <w:p>
            <w:r>
              <w:rPr>
                <w:rFonts w:ascii="微软雅黑" w:hAnsi="微软雅黑"/>
                <w:sz w:val="18"/>
              </w:rPr>
              <w:t>★★★☆☆</w:t>
            </w:r>
          </w:p>
        </w:tc>
        <w:tc>
          <w:tcPr>
            <w:tcW w:type="dxa" w:w="1568"/>
          </w:tcPr>
          <w:p>
            <w:r>
              <w:rPr>
                <w:rFonts w:ascii="微软雅黑" w:hAnsi="微软雅黑"/>
                <w:sz w:val="18"/>
              </w:rPr>
              <w:t>★★★★☆</w:t>
            </w:r>
          </w:p>
        </w:tc>
      </w:tr>
      <w:tr>
        <w:tc>
          <w:tcPr>
            <w:tcW w:type="dxa" w:w="1568"/>
            <w:shd w:fill="F2F6FC" w:val="clear"/>
          </w:tcPr>
          <w:p>
            <w:r>
              <w:rPr>
                <w:rFonts w:ascii="微软雅黑" w:hAnsi="微软雅黑"/>
                <w:sz w:val="18"/>
              </w:rPr>
              <w:t>性能/吞吐量</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r>
      <w:tr>
        <w:tc>
          <w:tcPr>
            <w:tcW w:type="dxa" w:w="1568"/>
          </w:tcPr>
          <w:p>
            <w:r>
              <w:rPr>
                <w:rFonts w:ascii="微软雅黑" w:hAnsi="微软雅黑"/>
                <w:sz w:val="18"/>
              </w:rPr>
              <w:t>信创适配</w:t>
            </w:r>
          </w:p>
        </w:tc>
        <w:tc>
          <w:tcPr>
            <w:tcW w:type="dxa" w:w="1568"/>
          </w:tcPr>
          <w:p>
            <w:r>
              <w:rPr>
                <w:rFonts w:ascii="微软雅黑" w:hAnsi="微软雅黑"/>
                <w:sz w:val="18"/>
              </w:rPr>
              <w:t>★★★★</w:t>
            </w:r>
          </w:p>
        </w:tc>
        <w:tc>
          <w:tcPr>
            <w:tcW w:type="dxa" w:w="1568"/>
          </w:tcPr>
          <w:p>
            <w:r>
              <w:rPr>
                <w:rFonts w:ascii="微软雅黑" w:hAnsi="微软雅黑"/>
                <w:sz w:val="18"/>
              </w:rPr>
              <w:t>★★★★☆</w:t>
            </w:r>
          </w:p>
        </w:tc>
        <w:tc>
          <w:tcPr>
            <w:tcW w:type="dxa" w:w="1568"/>
          </w:tcPr>
          <w:p>
            <w:r>
              <w:rPr>
                <w:rFonts w:ascii="微软雅黑" w:hAnsi="微软雅黑"/>
                <w:sz w:val="18"/>
              </w:rPr>
              <w:t>★★★★★</w:t>
            </w:r>
          </w:p>
        </w:tc>
        <w:tc>
          <w:tcPr>
            <w:tcW w:type="dxa" w:w="1568"/>
          </w:tcPr>
          <w:p>
            <w:r>
              <w:rPr>
                <w:rFonts w:ascii="微软雅黑" w:hAnsi="微软雅黑"/>
                <w:sz w:val="18"/>
              </w:rPr>
              <w:t>★★★★☆</w:t>
            </w:r>
          </w:p>
        </w:tc>
        <w:tc>
          <w:tcPr>
            <w:tcW w:type="dxa" w:w="1568"/>
          </w:tcPr>
          <w:p>
            <w:r>
              <w:rPr>
                <w:rFonts w:ascii="微软雅黑" w:hAnsi="微软雅黑"/>
                <w:sz w:val="18"/>
              </w:rPr>
              <w:t>★★★★☆</w:t>
            </w:r>
          </w:p>
        </w:tc>
      </w:tr>
      <w:tr>
        <w:tc>
          <w:tcPr>
            <w:tcW w:type="dxa" w:w="1568"/>
            <w:shd w:fill="F2F6FC" w:val="clear"/>
          </w:tcPr>
          <w:p>
            <w:r>
              <w:rPr>
                <w:rFonts w:ascii="微软雅黑" w:hAnsi="微软雅黑"/>
                <w:sz w:val="18"/>
              </w:rPr>
              <w:t>价格竞争力</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c>
          <w:tcPr>
            <w:tcW w:type="dxa" w:w="1568"/>
            <w:shd w:fill="F2F6FC" w:val="clear"/>
          </w:tcPr>
          <w:p>
            <w:r>
              <w:rPr>
                <w:rFonts w:ascii="微软雅黑" w:hAnsi="微软雅黑"/>
                <w:sz w:val="18"/>
              </w:rPr>
              <w:t>★★★★☆</w:t>
            </w:r>
          </w:p>
        </w:tc>
      </w:tr>
      <w:tr>
        <w:tc>
          <w:tcPr>
            <w:tcW w:type="dxa" w:w="1568"/>
          </w:tcPr>
          <w:p>
            <w:r>
              <w:rPr>
                <w:rFonts w:ascii="微软雅黑" w:hAnsi="微软雅黑"/>
                <w:sz w:val="18"/>
              </w:rPr>
              <w:t>本地化服务</w:t>
            </w:r>
          </w:p>
        </w:tc>
        <w:tc>
          <w:tcPr>
            <w:tcW w:type="dxa" w:w="1568"/>
          </w:tcPr>
          <w:p>
            <w:r>
              <w:rPr>
                <w:rFonts w:ascii="微软雅黑" w:hAnsi="微软雅黑"/>
                <w:sz w:val="18"/>
              </w:rPr>
              <w:t>★★★</w:t>
            </w:r>
          </w:p>
        </w:tc>
        <w:tc>
          <w:tcPr>
            <w:tcW w:type="dxa" w:w="1568"/>
          </w:tcPr>
          <w:p>
            <w:r>
              <w:rPr>
                <w:rFonts w:ascii="微软雅黑" w:hAnsi="微软雅黑"/>
                <w:sz w:val="18"/>
              </w:rPr>
              <w:t>★★★★★</w:t>
            </w:r>
          </w:p>
        </w:tc>
        <w:tc>
          <w:tcPr>
            <w:tcW w:type="dxa" w:w="1568"/>
          </w:tcPr>
          <w:p>
            <w:r>
              <w:rPr>
                <w:rFonts w:ascii="微软雅黑" w:hAnsi="微软雅黑"/>
                <w:sz w:val="18"/>
              </w:rPr>
              <w:t>★★★★☆</w:t>
            </w:r>
          </w:p>
        </w:tc>
        <w:tc>
          <w:tcPr>
            <w:tcW w:type="dxa" w:w="1568"/>
          </w:tcPr>
          <w:p>
            <w:r>
              <w:rPr>
                <w:rFonts w:ascii="微软雅黑" w:hAnsi="微软雅黑"/>
                <w:sz w:val="18"/>
              </w:rPr>
              <w:t>★★★☆☆</w:t>
            </w:r>
          </w:p>
        </w:tc>
        <w:tc>
          <w:tcPr>
            <w:tcW w:type="dxa" w:w="1568"/>
          </w:tcPr>
          <w:p>
            <w:r>
              <w:rPr>
                <w:rFonts w:ascii="微软雅黑" w:hAnsi="微软雅黑"/>
                <w:sz w:val="18"/>
              </w:rPr>
              <w:t>★★★★☆</w:t>
            </w:r>
          </w:p>
        </w:tc>
      </w:tr>
    </w:tbl>
    <w:p/>
    <w:p>
      <w:pPr>
        <w:pStyle w:val="Heading2"/>
      </w:pPr>
      <w:r>
        <w:rPr>
          <w:rFonts w:ascii="微软雅黑" w:hAnsi="微软雅黑"/>
        </w:rPr>
        <w:t>竞争话术策略</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B579A" w:val="clear"/>
          </w:tcPr>
          <w:p>
            <w:pPr>
              <w:jc w:val="center"/>
            </w:pPr>
            <w:r>
              <w:rPr>
                <w:rFonts w:ascii="微软雅黑" w:hAnsi="微软雅黑"/>
                <w:b/>
                <w:color w:val="FFFFFF"/>
                <w:sz w:val="18"/>
              </w:rPr>
              <w:t>面对竞品</w:t>
            </w:r>
          </w:p>
        </w:tc>
        <w:tc>
          <w:tcPr>
            <w:tcW w:type="dxa" w:w="3135"/>
            <w:shd w:fill="2B579A" w:val="clear"/>
          </w:tcPr>
          <w:p>
            <w:pPr>
              <w:jc w:val="center"/>
            </w:pPr>
            <w:r>
              <w:rPr>
                <w:rFonts w:ascii="微软雅黑" w:hAnsi="微软雅黑"/>
                <w:b/>
                <w:color w:val="FFFFFF"/>
                <w:sz w:val="18"/>
              </w:rPr>
              <w:t>应对策略</w:t>
            </w:r>
          </w:p>
        </w:tc>
        <w:tc>
          <w:tcPr>
            <w:tcW w:type="dxa" w:w="3135"/>
            <w:shd w:fill="2B579A" w:val="clear"/>
          </w:tcPr>
          <w:p>
            <w:pPr>
              <w:jc w:val="center"/>
            </w:pPr>
            <w:r>
              <w:rPr>
                <w:rFonts w:ascii="微软雅黑" w:hAnsi="微软雅黑"/>
                <w:b/>
                <w:color w:val="FFFFFF"/>
                <w:sz w:val="18"/>
              </w:rPr>
              <w:t>话术要点</w:t>
            </w:r>
          </w:p>
        </w:tc>
      </w:tr>
      <w:tr>
        <w:tc>
          <w:tcPr>
            <w:tcW w:type="dxa" w:w="3135"/>
            <w:shd w:fill="F2F6FC" w:val="clear"/>
          </w:tcPr>
          <w:p>
            <w:r>
              <w:rPr>
                <w:rFonts w:ascii="微软雅黑" w:hAnsi="微软雅黑"/>
                <w:sz w:val="18"/>
              </w:rPr>
              <w:t>奇安信 TZ</w:t>
            </w:r>
          </w:p>
        </w:tc>
        <w:tc>
          <w:tcPr>
            <w:tcW w:type="dxa" w:w="3135"/>
            <w:shd w:fill="F2F6FC" w:val="clear"/>
          </w:tcPr>
          <w:p>
            <w:r>
              <w:rPr>
                <w:rFonts w:ascii="微软雅黑" w:hAnsi="微软雅黑"/>
                <w:sz w:val="18"/>
              </w:rPr>
              <w:t>强调安全闭环和简化管理</w:t>
            </w:r>
          </w:p>
        </w:tc>
        <w:tc>
          <w:tcPr>
            <w:tcW w:type="dxa" w:w="3135"/>
            <w:shd w:fill="F2F6FC" w:val="clear"/>
          </w:tcPr>
          <w:p>
            <w:r>
              <w:rPr>
                <w:rFonts w:ascii="微软雅黑" w:hAnsi="微软雅黑"/>
                <w:sz w:val="18"/>
              </w:rPr>
              <w:t>奇安信产品能力很强，但我们的差异化在于如果您的防火墙、态势感知也是深信服的，零信任和整个安全体系天然打通，不需要做接口定制开发</w:t>
            </w:r>
          </w:p>
        </w:tc>
      </w:tr>
      <w:tr>
        <w:tc>
          <w:tcPr>
            <w:tcW w:type="dxa" w:w="3135"/>
          </w:tcPr>
          <w:p>
            <w:r>
              <w:rPr>
                <w:rFonts w:ascii="微软雅黑" w:hAnsi="微软雅黑"/>
                <w:sz w:val="18"/>
              </w:rPr>
              <w:t>山石网科</w:t>
            </w:r>
          </w:p>
        </w:tc>
        <w:tc>
          <w:tcPr>
            <w:tcW w:type="dxa" w:w="3135"/>
          </w:tcPr>
          <w:p>
            <w:r>
              <w:rPr>
                <w:rFonts w:ascii="微软雅黑" w:hAnsi="微软雅黑"/>
                <w:sz w:val="18"/>
              </w:rPr>
              <w:t>以品牌势能+渠道服务兜底</w:t>
            </w:r>
          </w:p>
        </w:tc>
        <w:tc>
          <w:tcPr>
            <w:tcW w:type="dxa" w:w="3135"/>
          </w:tcPr>
          <w:p>
            <w:r>
              <w:rPr>
                <w:rFonts w:ascii="微软雅黑" w:hAnsi="微软雅黑"/>
                <w:sz w:val="18"/>
              </w:rPr>
              <w:t>山石技术不错，但在国内市场安全品牌认知度和渠道覆盖不如深信服。我们众云网作为本地代理商，响应速度和服务深度是直接优势</w:t>
            </w:r>
          </w:p>
        </w:tc>
      </w:tr>
      <w:tr>
        <w:tc>
          <w:tcPr>
            <w:tcW w:type="dxa" w:w="3135"/>
            <w:shd w:fill="F2F6FC" w:val="clear"/>
          </w:tcPr>
          <w:p>
            <w:r>
              <w:rPr>
                <w:rFonts w:ascii="微软雅黑" w:hAnsi="微软雅黑"/>
                <w:sz w:val="18"/>
              </w:rPr>
              <w:t>天融信</w:t>
            </w:r>
          </w:p>
        </w:tc>
        <w:tc>
          <w:tcPr>
            <w:tcW w:type="dxa" w:w="3135"/>
            <w:shd w:fill="F2F6FC" w:val="clear"/>
          </w:tcPr>
          <w:p>
            <w:r>
              <w:rPr>
                <w:rFonts w:ascii="微软雅黑" w:hAnsi="微软雅黑"/>
                <w:sz w:val="18"/>
              </w:rPr>
              <w:t>场景完整度 + 生态价值</w:t>
            </w:r>
          </w:p>
        </w:tc>
        <w:tc>
          <w:tcPr>
            <w:tcW w:type="dxa" w:w="3135"/>
            <w:shd w:fill="F2F6FC" w:val="clear"/>
          </w:tcPr>
          <w:p>
            <w:r>
              <w:rPr>
                <w:rFonts w:ascii="微软雅黑" w:hAnsi="微软雅黑"/>
                <w:sz w:val="18"/>
              </w:rPr>
              <w:t>天融信在政府市场有积累，但零信任需要和终端安全、防火墙、态势感知联动才能发挥最大价值。深信服安全全家桶让客户花一份钱解决多个问题</w:t>
            </w:r>
          </w:p>
        </w:tc>
      </w:tr>
    </w:tbl>
    <w:p/>
    <w:p>
      <w:r>
        <w:rPr>
          <w:rFonts w:ascii="微软雅黑" w:hAnsi="微软雅黑"/>
          <w:b/>
          <w:color w:val="C0392B"/>
          <w:sz w:val="20"/>
        </w:rPr>
        <w:t>📌 售前要点：</w:t>
      </w:r>
      <w:r>
        <w:rPr>
          <w:rFonts w:ascii="微软雅黑" w:hAnsi="微软雅黑"/>
          <w:sz w:val="20"/>
        </w:rPr>
        <w:t>核心原则：永远不要直接贬低竞品。说"我们的产品在 X 方面做得更好"，而不是"他们的产品在 X 方面很差"。</w:t>
      </w:r>
    </w:p>
    <w:p>
      <w:r>
        <w:br w:type="page"/>
      </w:r>
    </w:p>
    <w:p>
      <w:pPr>
        <w:pStyle w:val="Heading1"/>
      </w:pPr>
      <w:r>
        <w:rPr>
          <w:rFonts w:ascii="微软雅黑" w:hAnsi="微软雅黑"/>
        </w:rPr>
        <w:t>模块 8：行业场景映射</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B579A" w:val="clear"/>
          </w:tcPr>
          <w:p>
            <w:pPr>
              <w:jc w:val="center"/>
            </w:pPr>
            <w:r>
              <w:rPr>
                <w:rFonts w:ascii="微软雅黑" w:hAnsi="微软雅黑"/>
                <w:b/>
                <w:color w:val="FFFFFF"/>
                <w:sz w:val="18"/>
              </w:rPr>
              <w:t>行业</w:t>
            </w:r>
          </w:p>
        </w:tc>
        <w:tc>
          <w:tcPr>
            <w:tcW w:type="dxa" w:w="2351"/>
            <w:shd w:fill="2B579A" w:val="clear"/>
          </w:tcPr>
          <w:p>
            <w:pPr>
              <w:jc w:val="center"/>
            </w:pPr>
            <w:r>
              <w:rPr>
                <w:rFonts w:ascii="微软雅黑" w:hAnsi="微软雅黑"/>
                <w:b/>
                <w:color w:val="FFFFFF"/>
                <w:sz w:val="18"/>
              </w:rPr>
              <w:t>典型痛点</w:t>
            </w:r>
          </w:p>
        </w:tc>
        <w:tc>
          <w:tcPr>
            <w:tcW w:type="dxa" w:w="2351"/>
            <w:shd w:fill="2B579A" w:val="clear"/>
          </w:tcPr>
          <w:p>
            <w:pPr>
              <w:jc w:val="center"/>
            </w:pPr>
            <w:r>
              <w:rPr>
                <w:rFonts w:ascii="微软雅黑" w:hAnsi="微软雅黑"/>
                <w:b/>
                <w:color w:val="FFFFFF"/>
                <w:sz w:val="18"/>
              </w:rPr>
              <w:t>aTrust 的价值点</w:t>
            </w:r>
          </w:p>
        </w:tc>
        <w:tc>
          <w:tcPr>
            <w:tcW w:type="dxa" w:w="2351"/>
            <w:shd w:fill="2B579A" w:val="clear"/>
          </w:tcPr>
          <w:p>
            <w:pPr>
              <w:jc w:val="center"/>
            </w:pPr>
            <w:r>
              <w:rPr>
                <w:rFonts w:ascii="微软雅黑" w:hAnsi="微软雅黑"/>
                <w:b/>
                <w:color w:val="FFFFFF"/>
                <w:sz w:val="18"/>
              </w:rPr>
              <w:t>行业术语转换</w:t>
            </w:r>
          </w:p>
        </w:tc>
      </w:tr>
      <w:tr>
        <w:tc>
          <w:tcPr>
            <w:tcW w:type="dxa" w:w="2351"/>
            <w:shd w:fill="F2F6FC" w:val="clear"/>
          </w:tcPr>
          <w:p>
            <w:r>
              <w:rPr>
                <w:rFonts w:ascii="微软雅黑" w:hAnsi="微软雅黑"/>
                <w:sz w:val="18"/>
              </w:rPr>
              <w:t>🏦 金融</w:t>
            </w:r>
          </w:p>
        </w:tc>
        <w:tc>
          <w:tcPr>
            <w:tcW w:type="dxa" w:w="2351"/>
            <w:shd w:fill="F2F6FC" w:val="clear"/>
          </w:tcPr>
          <w:p>
            <w:r>
              <w:rPr>
                <w:rFonts w:ascii="微软雅黑" w:hAnsi="微软雅黑"/>
                <w:sz w:val="18"/>
              </w:rPr>
              <w:t>远程办公安全合规(银保监)、外包人员访问管控、数据防泄漏</w:t>
            </w:r>
          </w:p>
        </w:tc>
        <w:tc>
          <w:tcPr>
            <w:tcW w:type="dxa" w:w="2351"/>
            <w:shd w:fill="F2F6FC" w:val="clear"/>
          </w:tcPr>
          <w:p>
            <w:r>
              <w:rPr>
                <w:rFonts w:ascii="微软雅黑" w:hAnsi="微软雅黑"/>
                <w:sz w:val="18"/>
              </w:rPr>
              <w:t>应用级权限管控确保外包/远程人员只访问授权系统；全流量审计满足合规检查；MFA 对接已有令牌体系</w:t>
            </w:r>
          </w:p>
        </w:tc>
        <w:tc>
          <w:tcPr>
            <w:tcW w:type="dxa" w:w="2351"/>
            <w:shd w:fill="F2F6FC" w:val="clear"/>
          </w:tcPr>
          <w:p>
            <w:r>
              <w:rPr>
                <w:rFonts w:ascii="微软雅黑" w:hAnsi="微软雅黑"/>
                <w:sz w:val="18"/>
              </w:rPr>
              <w:t>"合规"→"银保监现场检查"，"安全"→"外包人员准入"，"权限"→"最小必要原则"</w:t>
            </w:r>
          </w:p>
        </w:tc>
      </w:tr>
      <w:tr>
        <w:tc>
          <w:tcPr>
            <w:tcW w:type="dxa" w:w="2351"/>
          </w:tcPr>
          <w:p>
            <w:r>
              <w:rPr>
                <w:rFonts w:ascii="微软雅黑" w:hAnsi="微软雅黑"/>
                <w:sz w:val="18"/>
              </w:rPr>
              <w:t>🏭 制造</w:t>
            </w:r>
          </w:p>
        </w:tc>
        <w:tc>
          <w:tcPr>
            <w:tcW w:type="dxa" w:w="2351"/>
          </w:tcPr>
          <w:p>
            <w:r>
              <w:rPr>
                <w:rFonts w:ascii="微软雅黑" w:hAnsi="微软雅黑"/>
                <w:sz w:val="18"/>
              </w:rPr>
              <w:t>OT/IT 融合访问、多地工厂远程运维、供应商安全接入</w:t>
            </w:r>
          </w:p>
        </w:tc>
        <w:tc>
          <w:tcPr>
            <w:tcW w:type="dxa" w:w="2351"/>
          </w:tcPr>
          <w:p>
            <w:r>
              <w:rPr>
                <w:rFonts w:ascii="微软雅黑" w:hAnsi="微软雅黑"/>
                <w:sz w:val="18"/>
              </w:rPr>
              <w:t>SPA 隐藏 OT 系统端口防止攻击；MFA 保障远程运维安全；最小权限确保供应商只访问指定的 MES/SCADA 界面</w:t>
            </w:r>
          </w:p>
        </w:tc>
        <w:tc>
          <w:tcPr>
            <w:tcW w:type="dxa" w:w="2351"/>
          </w:tcPr>
          <w:p>
            <w:r>
              <w:rPr>
                <w:rFonts w:ascii="微软雅黑" w:hAnsi="微软雅黑"/>
                <w:sz w:val="18"/>
              </w:rPr>
              <w:t>"安全"→"产线不停/生产连续性"，"网络"→"厂区工控网安全"</w:t>
            </w:r>
          </w:p>
        </w:tc>
      </w:tr>
      <w:tr>
        <w:tc>
          <w:tcPr>
            <w:tcW w:type="dxa" w:w="2351"/>
            <w:shd w:fill="F2F6FC" w:val="clear"/>
          </w:tcPr>
          <w:p>
            <w:r>
              <w:rPr>
                <w:rFonts w:ascii="微软雅黑" w:hAnsi="微软雅黑"/>
                <w:sz w:val="18"/>
              </w:rPr>
              <w:t>🏛️ 政府</w:t>
            </w:r>
          </w:p>
        </w:tc>
        <w:tc>
          <w:tcPr>
            <w:tcW w:type="dxa" w:w="2351"/>
            <w:shd w:fill="F2F6FC" w:val="clear"/>
          </w:tcPr>
          <w:p>
            <w:r>
              <w:rPr>
                <w:rFonts w:ascii="微软雅黑" w:hAnsi="微软雅黑"/>
                <w:sz w:val="18"/>
              </w:rPr>
              <w:t>等保合规刚性需求、护网行动、数字政府一网通办安全、信创国产化</w:t>
            </w:r>
          </w:p>
        </w:tc>
        <w:tc>
          <w:tcPr>
            <w:tcW w:type="dxa" w:w="2351"/>
            <w:shd w:fill="F2F6FC" w:val="clear"/>
          </w:tcPr>
          <w:p>
            <w:r>
              <w:rPr>
                <w:rFonts w:ascii="微软雅黑" w:hAnsi="微软雅黑"/>
                <w:sz w:val="18"/>
              </w:rPr>
              <w:t>SPA 收缩护网攻击面效果立竿见影；全流量审计满足等保审计要求；信创平台适配(麒麟/统信/鲲鹏)</w:t>
            </w:r>
          </w:p>
        </w:tc>
        <w:tc>
          <w:tcPr>
            <w:tcW w:type="dxa" w:w="2351"/>
            <w:shd w:fill="F2F6FC" w:val="clear"/>
          </w:tcPr>
          <w:p>
            <w:r>
              <w:rPr>
                <w:rFonts w:ascii="微软雅黑" w:hAnsi="微软雅黑"/>
                <w:sz w:val="18"/>
              </w:rPr>
              <w:t>"云"→"政务云安全接入"，"安全"→"安全等级保护三级/护网得分"</w:t>
            </w:r>
          </w:p>
        </w:tc>
      </w:tr>
      <w:tr>
        <w:tc>
          <w:tcPr>
            <w:tcW w:type="dxa" w:w="2351"/>
          </w:tcPr>
          <w:p>
            <w:r>
              <w:rPr>
                <w:rFonts w:ascii="微软雅黑" w:hAnsi="微软雅黑"/>
                <w:sz w:val="18"/>
              </w:rPr>
              <w:t>🎓 教育</w:t>
            </w:r>
          </w:p>
        </w:tc>
        <w:tc>
          <w:tcPr>
            <w:tcW w:type="dxa" w:w="2351"/>
          </w:tcPr>
          <w:p>
            <w:r>
              <w:rPr>
                <w:rFonts w:ascii="微软雅黑" w:hAnsi="微软雅黑"/>
                <w:sz w:val="18"/>
              </w:rPr>
              <w:t>多校区师生统一接入、图书馆/选课系统高并发、预算有限</w:t>
            </w:r>
          </w:p>
        </w:tc>
        <w:tc>
          <w:tcPr>
            <w:tcW w:type="dxa" w:w="2351"/>
          </w:tcPr>
          <w:p>
            <w:r>
              <w:rPr>
                <w:rFonts w:ascii="微软雅黑" w:hAnsi="微软雅黑"/>
                <w:sz w:val="18"/>
              </w:rPr>
              <w:t>虚拟化部署省硬件成本；应用代理无需全校部署 Agent；多校区统一管控平台</w:t>
            </w:r>
          </w:p>
        </w:tc>
        <w:tc>
          <w:tcPr>
            <w:tcW w:type="dxa" w:w="2351"/>
          </w:tcPr>
          <w:p>
            <w:r>
              <w:rPr>
                <w:rFonts w:ascii="微软雅黑" w:hAnsi="微软雅黑"/>
                <w:sz w:val="18"/>
              </w:rPr>
              <w:t>"访问"→"智慧校园统一门户"，"安全"→"护网期间保障招生系统"</w:t>
            </w:r>
          </w:p>
        </w:tc>
      </w:tr>
      <w:tr>
        <w:tc>
          <w:tcPr>
            <w:tcW w:type="dxa" w:w="2351"/>
            <w:shd w:fill="F2F6FC" w:val="clear"/>
          </w:tcPr>
          <w:p>
            <w:r>
              <w:rPr>
                <w:rFonts w:ascii="微软雅黑" w:hAnsi="微软雅黑"/>
                <w:sz w:val="18"/>
              </w:rPr>
              <w:t>🌐 互联网</w:t>
            </w:r>
          </w:p>
        </w:tc>
        <w:tc>
          <w:tcPr>
            <w:tcW w:type="dxa" w:w="2351"/>
            <w:shd w:fill="F2F6FC" w:val="clear"/>
          </w:tcPr>
          <w:p>
            <w:r>
              <w:rPr>
                <w:rFonts w:ascii="微软雅黑" w:hAnsi="微软雅黑"/>
                <w:sz w:val="18"/>
              </w:rPr>
              <w:t>多云环境统一接入、DevOps/研发代码库安全、弹性伸缩</w:t>
            </w:r>
          </w:p>
        </w:tc>
        <w:tc>
          <w:tcPr>
            <w:tcW w:type="dxa" w:w="2351"/>
            <w:shd w:fill="F2F6FC" w:val="clear"/>
          </w:tcPr>
          <w:p>
            <w:r>
              <w:rPr>
                <w:rFonts w:ascii="微软雅黑" w:hAnsi="微软雅黑"/>
                <w:sz w:val="18"/>
              </w:rPr>
              <w:t>API 对接 CI/CD 流程实现自动化权限；SDP 网关支持 K8s 部署弹性扩缩；代码仓库精细化权限管控</w:t>
            </w:r>
          </w:p>
        </w:tc>
        <w:tc>
          <w:tcPr>
            <w:tcW w:type="dxa" w:w="2351"/>
            <w:shd w:fill="F2F6FC" w:val="clear"/>
          </w:tcPr>
          <w:p>
            <w:r>
              <w:rPr>
                <w:rFonts w:ascii="微软雅黑" w:hAnsi="微软雅黑"/>
                <w:sz w:val="18"/>
              </w:rPr>
              <w:t>"安全"→"DevSecOps/代码防泄露"，"访问"→"零信任 CI/CD 流水线"</w:t>
            </w:r>
          </w:p>
        </w:tc>
      </w:tr>
    </w:tbl>
    <w:p/>
    <w:p>
      <w:r>
        <w:rPr>
          <w:rFonts w:ascii="微软雅黑" w:hAnsi="微软雅黑"/>
          <w:b/>
          <w:color w:val="C0392B"/>
          <w:sz w:val="20"/>
        </w:rPr>
        <w:t>📌 售前要点：</w:t>
      </w:r>
      <w:r>
        <w:rPr>
          <w:rFonts w:ascii="微软雅黑" w:hAnsi="微软雅黑"/>
          <w:sz w:val="20"/>
        </w:rPr>
        <w:t>对谁说就切换成谁的语言。同一个产品功能，对金融客户讲"合规"，对制造客户讲"连续性"，对政府讲"护网得分"，对互联网讲"敏捷"。</w:t>
      </w:r>
    </w:p>
    <w:p>
      <w:r>
        <w:br w:type="page"/>
      </w:r>
    </w:p>
    <w:p>
      <w:pPr>
        <w:pStyle w:val="Heading1"/>
      </w:pPr>
      <w:r>
        <w:rPr>
          <w:rFonts w:ascii="微软雅黑" w:hAnsi="微软雅黑"/>
        </w:rPr>
        <w:t>模块 9：方案模板</w:t>
      </w:r>
    </w:p>
    <w:p>
      <w:pPr>
        <w:pStyle w:val="Heading2"/>
      </w:pPr>
      <w:r>
        <w:rPr>
          <w:rFonts w:ascii="微软雅黑" w:hAnsi="微软雅黑"/>
        </w:rPr>
        <w:t>标准售前方案框架</w:t>
      </w:r>
    </w:p>
    <w:p>
      <w:pPr>
        <w:ind w:left="567"/>
      </w:pPr>
      <w:r>
        <w:rPr>
          <w:rFonts w:ascii="Courier New" w:hAnsi="Courier New"/>
          <w:color w:val="333333"/>
          <w:sz w:val="16"/>
        </w:rPr>
        <w:t>一、项目背景与需求分析</w:t>
        <w:br/>
        <w:t xml:space="preserve">   - 客户当前 IT 现状（现有 VPN 品牌、用户数、业务系统数量）</w:t>
        <w:br/>
        <w:t xml:space="preserve">   - 业务痛点梳理：</w:t>
        <w:br/>
        <w:t xml:space="preserve">     1. 远程办公 VPN 端口暴露，攻防演练中被频繁扫描</w:t>
        <w:br/>
        <w:t xml:space="preserve">     2. 员工/外包人员权限管控粒度不够</w:t>
        <w:br/>
        <w:t xml:space="preserve">     3. 等保/合规要求访问控制和审计能力升级</w:t>
        <w:br/>
        <w:t xml:space="preserve">   - 建设目标：构建零信任安全接入体系，实现"身份可信、设备可控、访问可管、行为可审"</w:t>
        <w:br/>
        <w:br/>
        <w:t>二、方案设计</w:t>
        <w:br/>
        <w:t xml:space="preserve">   - 设计原则：最小权限 / 持续验证 / 默认拒绝 / 生态联动</w:t>
        <w:br/>
        <w:t xml:space="preserve">   - 整体架构：控制中心(管理面) + SDP 网关(数据面) + aTrust 客户端</w:t>
        <w:br/>
        <w:t xml:space="preserve">   - aTrust 部署位置：DMZ 区反向代理模式，不改变网络拓扑</w:t>
        <w:br/>
        <w:br/>
        <w:t>三、产品介绍</w:t>
        <w:br/>
        <w:t xml:space="preserve">   - 3 页核心 PPT：SPA 端口隐藏 → 动态信任评估 → 安全联动闭环</w:t>
        <w:br/>
        <w:t xml:space="preserve">   - 本方案配置清单（见下方）</w:t>
        <w:br/>
        <w:br/>
        <w:t>四、实施计划</w:t>
        <w:br/>
        <w:t xml:space="preserve">   - 第一阶段（1-2 周）：部署控制中心 + SDP 网关，与 AD 对接身份源</w:t>
        <w:br/>
        <w:t xml:space="preserve">   - 第二阶段（2-4 周）：分批发布业务系统，灰度切换用户</w:t>
        <w:br/>
        <w:t xml:space="preserve">   - 第三阶段（4-6 周）：全面推广，并行运行 VPN 1-2 月后下线</w:t>
        <w:br/>
        <w:t xml:space="preserve">   - 风险与应对：首次部署建议保底保留 VPN 做回退</w:t>
        <w:br/>
        <w:br/>
        <w:t>五、售后服务</w:t>
        <w:br/>
        <w:t xml:space="preserve">   - 深信服标准维保：5×8 远程 + 次日现场</w:t>
        <w:br/>
        <w:t xml:space="preserve">   - 众云网本地服务：7×24 电话 + 4 小时到场可选</w:t>
        <w:br/>
        <w:t xml:space="preserve">   - 培训：管理员培训 2 天 + 用户使用手册/视频</w:t>
      </w:r>
    </w:p>
    <w:p>
      <w:pPr>
        <w:pStyle w:val="Heading2"/>
      </w:pPr>
      <w:r>
        <w:rPr>
          <w:rFonts w:ascii="微软雅黑" w:hAnsi="微软雅黑"/>
        </w:rPr>
        <w:t>典型配置清单模板</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B579A" w:val="clear"/>
          </w:tcPr>
          <w:p>
            <w:pPr>
              <w:jc w:val="center"/>
            </w:pPr>
            <w:r>
              <w:rPr>
                <w:rFonts w:ascii="微软雅黑" w:hAnsi="微软雅黑"/>
                <w:b/>
                <w:color w:val="FFFFFF"/>
                <w:sz w:val="18"/>
              </w:rPr>
              <w:t>序号</w:t>
            </w:r>
          </w:p>
        </w:tc>
        <w:tc>
          <w:tcPr>
            <w:tcW w:type="dxa" w:w="2351"/>
            <w:shd w:fill="2B579A" w:val="clear"/>
          </w:tcPr>
          <w:p>
            <w:pPr>
              <w:jc w:val="center"/>
            </w:pPr>
            <w:r>
              <w:rPr>
                <w:rFonts w:ascii="微软雅黑" w:hAnsi="微软雅黑"/>
                <w:b/>
                <w:color w:val="FFFFFF"/>
                <w:sz w:val="18"/>
              </w:rPr>
              <w:t>产品型号</w:t>
            </w:r>
          </w:p>
        </w:tc>
        <w:tc>
          <w:tcPr>
            <w:tcW w:type="dxa" w:w="2351"/>
            <w:shd w:fill="2B579A" w:val="clear"/>
          </w:tcPr>
          <w:p>
            <w:pPr>
              <w:jc w:val="center"/>
            </w:pPr>
            <w:r>
              <w:rPr>
                <w:rFonts w:ascii="微软雅黑" w:hAnsi="微软雅黑"/>
                <w:b/>
                <w:color w:val="FFFFFF"/>
                <w:sz w:val="18"/>
              </w:rPr>
              <w:t>描述</w:t>
            </w:r>
          </w:p>
        </w:tc>
        <w:tc>
          <w:tcPr>
            <w:tcW w:type="dxa" w:w="2351"/>
            <w:shd w:fill="2B579A" w:val="clear"/>
          </w:tcPr>
          <w:p>
            <w:pPr>
              <w:jc w:val="center"/>
            </w:pPr>
            <w:r>
              <w:rPr>
                <w:rFonts w:ascii="微软雅黑" w:hAnsi="微软雅黑"/>
                <w:b/>
                <w:color w:val="FFFFFF"/>
                <w:sz w:val="18"/>
              </w:rPr>
              <w:t>数量</w:t>
            </w:r>
          </w:p>
        </w:tc>
      </w:tr>
      <w:tr>
        <w:tc>
          <w:tcPr>
            <w:tcW w:type="dxa" w:w="2351"/>
            <w:shd w:fill="F2F6FC" w:val="clear"/>
          </w:tcPr>
          <w:p>
            <w:r>
              <w:rPr>
                <w:rFonts w:ascii="微软雅黑" w:hAnsi="微软雅黑"/>
                <w:sz w:val="18"/>
              </w:rPr>
              <w:t>1</w:t>
            </w:r>
          </w:p>
        </w:tc>
        <w:tc>
          <w:tcPr>
            <w:tcW w:type="dxa" w:w="2351"/>
            <w:shd w:fill="F2F6FC" w:val="clear"/>
          </w:tcPr>
          <w:p>
            <w:r>
              <w:rPr>
                <w:rFonts w:ascii="微软雅黑" w:hAnsi="微软雅黑"/>
                <w:sz w:val="18"/>
              </w:rPr>
              <w:t>aTrust 控制中心</w:t>
            </w:r>
          </w:p>
        </w:tc>
        <w:tc>
          <w:tcPr>
            <w:tcW w:type="dxa" w:w="2351"/>
            <w:shd w:fill="F2F6FC" w:val="clear"/>
          </w:tcPr>
          <w:p>
            <w:r>
              <w:rPr>
                <w:rFonts w:ascii="微软雅黑" w:hAnsi="微软雅黑"/>
                <w:sz w:val="18"/>
              </w:rPr>
              <w:t>虚拟化部署，管理认证/授权/审计</w:t>
            </w:r>
          </w:p>
        </w:tc>
        <w:tc>
          <w:tcPr>
            <w:tcW w:type="dxa" w:w="2351"/>
            <w:shd w:fill="F2F6FC" w:val="clear"/>
          </w:tcPr>
          <w:p>
            <w:r>
              <w:rPr>
                <w:rFonts w:ascii="微软雅黑" w:hAnsi="微软雅黑"/>
                <w:sz w:val="18"/>
              </w:rPr>
              <w:t>1</w:t>
            </w:r>
          </w:p>
        </w:tc>
      </w:tr>
      <w:tr>
        <w:tc>
          <w:tcPr>
            <w:tcW w:type="dxa" w:w="2351"/>
          </w:tcPr>
          <w:p>
            <w:r>
              <w:rPr>
                <w:rFonts w:ascii="微软雅黑" w:hAnsi="微软雅黑"/>
                <w:sz w:val="18"/>
              </w:rPr>
              <w:t>2</w:t>
            </w:r>
          </w:p>
        </w:tc>
        <w:tc>
          <w:tcPr>
            <w:tcW w:type="dxa" w:w="2351"/>
          </w:tcPr>
          <w:p>
            <w:r>
              <w:rPr>
                <w:rFonts w:ascii="微软雅黑" w:hAnsi="微软雅黑"/>
                <w:sz w:val="18"/>
              </w:rPr>
              <w:t>SDP 网关（标准版）</w:t>
            </w:r>
          </w:p>
        </w:tc>
        <w:tc>
          <w:tcPr>
            <w:tcW w:type="dxa" w:w="2351"/>
          </w:tcPr>
          <w:p>
            <w:r>
              <w:rPr>
                <w:rFonts w:ascii="微软雅黑" w:hAnsi="微软雅黑"/>
                <w:sz w:val="18"/>
              </w:rPr>
              <w:t>吞吐 5Gbps，支持 HA 双机</w:t>
            </w:r>
          </w:p>
        </w:tc>
        <w:tc>
          <w:tcPr>
            <w:tcW w:type="dxa" w:w="2351"/>
          </w:tcPr>
          <w:p>
            <w:r>
              <w:rPr>
                <w:rFonts w:ascii="微软雅黑" w:hAnsi="微软雅黑"/>
                <w:sz w:val="18"/>
              </w:rPr>
              <w:t>2</w:t>
            </w:r>
          </w:p>
        </w:tc>
      </w:tr>
      <w:tr>
        <w:tc>
          <w:tcPr>
            <w:tcW w:type="dxa" w:w="2351"/>
            <w:shd w:fill="F2F6FC" w:val="clear"/>
          </w:tcPr>
          <w:p>
            <w:r>
              <w:rPr>
                <w:rFonts w:ascii="微软雅黑" w:hAnsi="微软雅黑"/>
                <w:sz w:val="18"/>
              </w:rPr>
              <w:t>3</w:t>
            </w:r>
          </w:p>
        </w:tc>
        <w:tc>
          <w:tcPr>
            <w:tcW w:type="dxa" w:w="2351"/>
            <w:shd w:fill="F2F6FC" w:val="clear"/>
          </w:tcPr>
          <w:p>
            <w:r>
              <w:rPr>
                <w:rFonts w:ascii="微软雅黑" w:hAnsi="微软雅黑"/>
                <w:sz w:val="18"/>
              </w:rPr>
              <w:t>aTrust 并发授权（标准版）</w:t>
            </w:r>
          </w:p>
        </w:tc>
        <w:tc>
          <w:tcPr>
            <w:tcW w:type="dxa" w:w="2351"/>
            <w:shd w:fill="F2F6FC" w:val="clear"/>
          </w:tcPr>
          <w:p>
            <w:r>
              <w:rPr>
                <w:rFonts w:ascii="微软雅黑" w:hAnsi="微软雅黑"/>
                <w:sz w:val="18"/>
              </w:rPr>
              <w:t>含 SPA+动态信任+MFA，按并发</w:t>
            </w:r>
          </w:p>
        </w:tc>
        <w:tc>
          <w:tcPr>
            <w:tcW w:type="dxa" w:w="2351"/>
            <w:shd w:fill="F2F6FC" w:val="clear"/>
          </w:tcPr>
          <w:p>
            <w:r>
              <w:rPr>
                <w:rFonts w:ascii="微软雅黑" w:hAnsi="微软雅黑"/>
                <w:sz w:val="18"/>
              </w:rPr>
              <w:t>500</w:t>
            </w:r>
          </w:p>
        </w:tc>
      </w:tr>
      <w:tr>
        <w:tc>
          <w:tcPr>
            <w:tcW w:type="dxa" w:w="2351"/>
          </w:tcPr>
          <w:p>
            <w:r>
              <w:rPr>
                <w:rFonts w:ascii="微软雅黑" w:hAnsi="微软雅黑"/>
                <w:sz w:val="18"/>
              </w:rPr>
              <w:t>4</w:t>
            </w:r>
          </w:p>
        </w:tc>
        <w:tc>
          <w:tcPr>
            <w:tcW w:type="dxa" w:w="2351"/>
          </w:tcPr>
          <w:p>
            <w:r>
              <w:rPr>
                <w:rFonts w:ascii="微软雅黑" w:hAnsi="微软雅黑"/>
                <w:sz w:val="18"/>
              </w:rPr>
              <w:t>实施部署服务</w:t>
            </w:r>
          </w:p>
        </w:tc>
        <w:tc>
          <w:tcPr>
            <w:tcW w:type="dxa" w:w="2351"/>
          </w:tcPr>
          <w:p>
            <w:r>
              <w:rPr>
                <w:rFonts w:ascii="微软雅黑" w:hAnsi="微软雅黑"/>
                <w:sz w:val="18"/>
              </w:rPr>
              <w:t>首次部署 + 策略配置 + 培训</w:t>
            </w:r>
          </w:p>
        </w:tc>
        <w:tc>
          <w:tcPr>
            <w:tcW w:type="dxa" w:w="2351"/>
          </w:tcPr>
          <w:p>
            <w:r>
              <w:rPr>
                <w:rFonts w:ascii="微软雅黑" w:hAnsi="微软雅黑"/>
                <w:sz w:val="18"/>
              </w:rPr>
              <w:t>1 套</w:t>
            </w:r>
          </w:p>
        </w:tc>
      </w:tr>
      <w:tr>
        <w:tc>
          <w:tcPr>
            <w:tcW w:type="dxa" w:w="2351"/>
            <w:shd w:fill="F2F6FC" w:val="clear"/>
          </w:tcPr>
          <w:p>
            <w:r>
              <w:rPr>
                <w:rFonts w:ascii="微软雅黑" w:hAnsi="微软雅黑"/>
                <w:sz w:val="18"/>
              </w:rPr>
              <w:t>5</w:t>
            </w:r>
          </w:p>
        </w:tc>
        <w:tc>
          <w:tcPr>
            <w:tcW w:type="dxa" w:w="2351"/>
            <w:shd w:fill="F2F6FC" w:val="clear"/>
          </w:tcPr>
          <w:p>
            <w:r>
              <w:rPr>
                <w:rFonts w:ascii="微软雅黑" w:hAnsi="微软雅黑"/>
                <w:sz w:val="18"/>
              </w:rPr>
              <w:t>金牌维保服务</w:t>
            </w:r>
          </w:p>
        </w:tc>
        <w:tc>
          <w:tcPr>
            <w:tcW w:type="dxa" w:w="2351"/>
            <w:shd w:fill="F2F6FC" w:val="clear"/>
          </w:tcPr>
          <w:p>
            <w:r>
              <w:rPr>
                <w:rFonts w:ascii="微软雅黑" w:hAnsi="微软雅黑"/>
                <w:sz w:val="18"/>
              </w:rPr>
              <w:t>7×24×4 小时现场，含版本升级</w:t>
            </w:r>
          </w:p>
        </w:tc>
        <w:tc>
          <w:tcPr>
            <w:tcW w:type="dxa" w:w="2351"/>
            <w:shd w:fill="F2F6FC" w:val="clear"/>
          </w:tcPr>
          <w:p>
            <w:r>
              <w:rPr>
                <w:rFonts w:ascii="微软雅黑" w:hAnsi="微软雅黑"/>
                <w:sz w:val="18"/>
              </w:rPr>
              <w:t>1 年</w:t>
            </w:r>
          </w:p>
        </w:tc>
      </w:tr>
    </w:tbl>
    <w:p/>
    <w:p>
      <w:r>
        <w:rPr>
          <w:rFonts w:ascii="微软雅黑" w:hAnsi="微软雅黑"/>
          <w:color w:val="999999"/>
          <w:sz w:val="18"/>
        </w:rPr>
        <w:t>[注：单价和合计金额需向深信服渠道经理获取最新报价]</w:t>
      </w:r>
    </w:p>
    <w:p>
      <w:pPr>
        <w:pStyle w:val="Heading2"/>
      </w:pPr>
      <w:r>
        <w:rPr>
          <w:rFonts w:ascii="微软雅黑" w:hAnsi="微软雅黑"/>
        </w:rPr>
        <w:t>报价策略提示</w:t>
      </w:r>
    </w:p>
    <w:p>
      <w:r>
        <w:rPr>
          <w:rFonts w:ascii="微软雅黑" w:hAnsi="微软雅黑"/>
          <w:sz w:val="20"/>
        </w:rPr>
        <w:t>• 入门版（打价格/做覆盖率）：基础版授权 + 单网关，面向 200 人以下中小企业，压低单价先圈地</w:t>
      </w:r>
    </w:p>
    <w:p>
      <w:r>
        <w:rPr>
          <w:rFonts w:ascii="微软雅黑" w:hAnsi="微软雅黑"/>
          <w:sz w:val="20"/>
        </w:rPr>
        <w:t>• 标准版（主打/利润）：标准版授权 + 双网关 HA，500-2000 并发用户，项目毛利目标 30%+</w:t>
      </w:r>
    </w:p>
    <w:p>
      <w:r>
        <w:rPr>
          <w:rFonts w:ascii="微软雅黑" w:hAnsi="微软雅黑"/>
          <w:sz w:val="20"/>
        </w:rPr>
        <w:t>• 旗舰版（树标杆/高配客户）：高级版 + 联动 AF/SIP/EDR 全家桶，政府/金融标杆项目，维保签 3 年锁定长期收入</w:t>
      </w:r>
    </w:p>
    <w:p>
      <w:r>
        <w:br w:type="page"/>
      </w:r>
    </w:p>
    <w:p>
      <w:pPr>
        <w:pStyle w:val="Heading1"/>
      </w:pPr>
      <w:r>
        <w:rPr>
          <w:rFonts w:ascii="微软雅黑" w:hAnsi="微软雅黑"/>
        </w:rPr>
        <w:t>模块 10：30 秒话术</w:t>
      </w:r>
    </w:p>
    <w:p>
      <w:pPr>
        <w:pStyle w:val="Heading2"/>
      </w:pPr>
      <w:r>
        <w:rPr>
          <w:rFonts w:ascii="微软雅黑" w:hAnsi="微软雅黑"/>
        </w:rPr>
        <w:t>电梯演讲（30 秒版本）</w:t>
      </w:r>
    </w:p>
    <w:p>
      <w:pPr>
        <w:ind w:left="567"/>
      </w:pPr>
      <w:r>
        <w:rPr>
          <w:rFonts w:ascii="微软雅黑" w:hAnsi="微软雅黑"/>
          <w:i/>
          <w:sz w:val="20"/>
        </w:rPr>
        <w:t>"x总，简单介绍一下深信服零信任 aTrust。它是深信服推出的一款新一代安全接入平台，专门解决远程办公安全和内网访问管控的问题。跟市面上其他零信任产品最大的不同是，它可以和深信服的防火墙、态势感知、终端安全形成联动闭环——终端发现威胁，零信任立刻收紧权限，整个链条自动运转。我们在某省政务云部署后，护网期间零信任接入的业务系统实现了零被攻击成功。如果您感兴趣，我可以安排一个详细的技术交流。"</w:t>
      </w:r>
    </w:p>
    <w:p>
      <w:pPr>
        <w:pStyle w:val="Heading2"/>
      </w:pPr>
      <w:r>
        <w:rPr>
          <w:rFonts w:ascii="微软雅黑" w:hAnsi="微软雅黑"/>
        </w:rPr>
        <w:t>费曼讲解（大白话版）</w:t>
      </w:r>
    </w:p>
    <w:p>
      <w:pPr>
        <w:ind w:left="567"/>
      </w:pPr>
      <w:r>
        <w:rPr>
          <w:rFonts w:ascii="微软雅黑" w:hAnsi="微软雅黑"/>
          <w:sz w:val="20"/>
        </w:rPr>
        <w:t>想象一下，你的公司内部有一些房间，里面放着重要的文件——财务数据、客户资料、研发代码。以前的做法是，给每个员工发一把公司大门的钥匙（VPN），进门之后所有房间都能进，这有个问题：钥匙可能被偷，人进去了可能乱翻不该翻的房间。</w:t>
        <w:br/>
        <w:br/>
        <w:t>零信任的做法完全不一样。首先，你根本看不见公司大门在哪——大门是隐形的。只有你掏出身份证、证明自己是谁、设备没问题，门才会短暂出现让你进。其次，进门之后，你只能进你该进的那几个房间——财务进财务室，研发进代码库，其他房间对你完全不可见。而且，即使你已经进了房间，系统也在持续观察你：你是不是在正常时间、正常地点、做着该做的事？一旦发现不对劲，马上把你请出去。</w:t>
        <w:br/>
        <w:br/>
        <w:t>简单说，传统 VPN 是"一次验证、永远信任"；零信任是"永不信任，持续验证"。就像你去机场，不是过了一次安检就随便逛，而是进每个登机口都要重新验证身份。</w:t>
      </w:r>
    </w:p>
    <w:p>
      <w:r>
        <w:br w:type="page"/>
      </w:r>
    </w:p>
    <w:p>
      <w:pPr>
        <w:pStyle w:val="Heading1"/>
      </w:pPr>
      <w:r>
        <w:rPr>
          <w:rFonts w:ascii="微软雅黑" w:hAnsi="微软雅黑"/>
        </w:rPr>
        <w:t>附录：信息来源</w:t>
      </w:r>
    </w:p>
    <w:tbl>
      <w:tblPr>
        <w:tblStyle w:val="TableGrid"/>
        <w:tblW w:type="auto" w:w="0"/>
        <w:jc w:val="center"/>
        <w:tblLook w:firstColumn="1" w:firstRow="1" w:lastColumn="0" w:lastRow="0" w:noHBand="0" w:noVBand="1" w:val="04A0"/>
      </w:tblPr>
      <w:tblGrid>
        <w:gridCol w:w="4703"/>
        <w:gridCol w:w="4703"/>
      </w:tblGrid>
      <w:tr>
        <w:tc>
          <w:tcPr>
            <w:tcW w:type="dxa" w:w="4703"/>
            <w:shd w:fill="2B579A" w:val="clear"/>
          </w:tcPr>
          <w:p>
            <w:pPr>
              <w:jc w:val="center"/>
            </w:pPr>
            <w:r>
              <w:rPr>
                <w:rFonts w:ascii="微软雅黑" w:hAnsi="微软雅黑"/>
                <w:b/>
                <w:color w:val="FFFFFF"/>
                <w:sz w:val="18"/>
              </w:rPr>
              <w:t>模块</w:t>
            </w:r>
          </w:p>
        </w:tc>
        <w:tc>
          <w:tcPr>
            <w:tcW w:type="dxa" w:w="4703"/>
            <w:shd w:fill="2B579A" w:val="clear"/>
          </w:tcPr>
          <w:p>
            <w:pPr>
              <w:jc w:val="center"/>
            </w:pPr>
            <w:r>
              <w:rPr>
                <w:rFonts w:ascii="微软雅黑" w:hAnsi="微软雅黑"/>
                <w:b/>
                <w:color w:val="FFFFFF"/>
                <w:sz w:val="18"/>
              </w:rPr>
              <w:t>主要来源</w:t>
            </w:r>
          </w:p>
        </w:tc>
      </w:tr>
      <w:tr>
        <w:tc>
          <w:tcPr>
            <w:tcW w:type="dxa" w:w="4703"/>
            <w:shd w:fill="F2F6FC" w:val="clear"/>
          </w:tcPr>
          <w:p>
            <w:r>
              <w:rPr>
                <w:rFonts w:ascii="微软雅黑" w:hAnsi="微软雅黑"/>
                <w:sz w:val="18"/>
              </w:rPr>
              <w:t>厂商速览</w:t>
            </w:r>
          </w:p>
        </w:tc>
        <w:tc>
          <w:tcPr>
            <w:tcW w:type="dxa" w:w="4703"/>
            <w:shd w:fill="F2F6FC" w:val="clear"/>
          </w:tcPr>
          <w:p>
            <w:r>
              <w:rPr>
                <w:rFonts w:ascii="微软雅黑" w:hAnsi="微软雅黑"/>
                <w:sz w:val="18"/>
              </w:rPr>
              <w:t>[我的知识] + [公开媒体]，建议用深信服年报确认最新数据</w:t>
            </w:r>
          </w:p>
        </w:tc>
      </w:tr>
      <w:tr>
        <w:tc>
          <w:tcPr>
            <w:tcW w:type="dxa" w:w="4703"/>
          </w:tcPr>
          <w:p>
            <w:r>
              <w:rPr>
                <w:rFonts w:ascii="微软雅黑" w:hAnsi="微软雅黑"/>
                <w:sz w:val="18"/>
              </w:rPr>
              <w:t>产品定位</w:t>
            </w:r>
          </w:p>
        </w:tc>
        <w:tc>
          <w:tcPr>
            <w:tcW w:type="dxa" w:w="4703"/>
          </w:tcPr>
          <w:p>
            <w:r>
              <w:rPr>
                <w:rFonts w:ascii="微软雅黑" w:hAnsi="微软雅黑"/>
                <w:sz w:val="18"/>
              </w:rPr>
              <w:t>[我的知识]</w:t>
            </w:r>
          </w:p>
        </w:tc>
      </w:tr>
      <w:tr>
        <w:tc>
          <w:tcPr>
            <w:tcW w:type="dxa" w:w="4703"/>
            <w:shd w:fill="F2F6FC" w:val="clear"/>
          </w:tcPr>
          <w:p>
            <w:r>
              <w:rPr>
                <w:rFonts w:ascii="微软雅黑" w:hAnsi="微软雅黑"/>
                <w:sz w:val="18"/>
              </w:rPr>
              <w:t>技术架构</w:t>
            </w:r>
          </w:p>
        </w:tc>
        <w:tc>
          <w:tcPr>
            <w:tcW w:type="dxa" w:w="4703"/>
            <w:shd w:fill="F2F6FC" w:val="clear"/>
          </w:tcPr>
          <w:p>
            <w:r>
              <w:rPr>
                <w:rFonts w:ascii="微软雅黑" w:hAnsi="微软雅黑"/>
                <w:sz w:val="18"/>
              </w:rPr>
              <w:t>[我的知识] + [白皮书]，具体性能数字建议从最新技术白皮书核实</w:t>
            </w:r>
          </w:p>
        </w:tc>
      </w:tr>
      <w:tr>
        <w:tc>
          <w:tcPr>
            <w:tcW w:type="dxa" w:w="4703"/>
          </w:tcPr>
          <w:p>
            <w:r>
              <w:rPr>
                <w:rFonts w:ascii="微软雅黑" w:hAnsi="微软雅黑"/>
                <w:sz w:val="18"/>
              </w:rPr>
              <w:t>产品线关系</w:t>
            </w:r>
          </w:p>
        </w:tc>
        <w:tc>
          <w:tcPr>
            <w:tcW w:type="dxa" w:w="4703"/>
          </w:tcPr>
          <w:p>
            <w:r>
              <w:rPr>
                <w:rFonts w:ascii="微软雅黑" w:hAnsi="微软雅黑"/>
                <w:sz w:val="18"/>
              </w:rPr>
              <w:t>[我的知识]</w:t>
            </w:r>
          </w:p>
        </w:tc>
      </w:tr>
      <w:tr>
        <w:tc>
          <w:tcPr>
            <w:tcW w:type="dxa" w:w="4703"/>
            <w:shd w:fill="F2F6FC" w:val="clear"/>
          </w:tcPr>
          <w:p>
            <w:r>
              <w:rPr>
                <w:rFonts w:ascii="微软雅黑" w:hAnsi="微软雅黑"/>
                <w:sz w:val="18"/>
              </w:rPr>
              <w:t>核心功能 TOP 5</w:t>
            </w:r>
          </w:p>
        </w:tc>
        <w:tc>
          <w:tcPr>
            <w:tcW w:type="dxa" w:w="4703"/>
            <w:shd w:fill="F2F6FC" w:val="clear"/>
          </w:tcPr>
          <w:p>
            <w:r>
              <w:rPr>
                <w:rFonts w:ascii="微软雅黑" w:hAnsi="微软雅黑"/>
                <w:sz w:val="18"/>
              </w:rPr>
              <w:t>[我的知识]</w:t>
            </w:r>
          </w:p>
        </w:tc>
      </w:tr>
      <w:tr>
        <w:tc>
          <w:tcPr>
            <w:tcW w:type="dxa" w:w="4703"/>
          </w:tcPr>
          <w:p>
            <w:r>
              <w:rPr>
                <w:rFonts w:ascii="微软雅黑" w:hAnsi="微软雅黑"/>
                <w:sz w:val="18"/>
              </w:rPr>
              <w:t>FAQ</w:t>
            </w:r>
          </w:p>
        </w:tc>
        <w:tc>
          <w:tcPr>
            <w:tcW w:type="dxa" w:w="4703"/>
          </w:tcPr>
          <w:p>
            <w:r>
              <w:rPr>
                <w:rFonts w:ascii="微软雅黑" w:hAnsi="微软雅黑"/>
                <w:sz w:val="18"/>
              </w:rPr>
              <w:t>[我的知识]</w:t>
            </w:r>
          </w:p>
        </w:tc>
      </w:tr>
      <w:tr>
        <w:tc>
          <w:tcPr>
            <w:tcW w:type="dxa" w:w="4703"/>
            <w:shd w:fill="F2F6FC" w:val="clear"/>
          </w:tcPr>
          <w:p>
            <w:r>
              <w:rPr>
                <w:rFonts w:ascii="微软雅黑" w:hAnsi="微软雅黑"/>
                <w:sz w:val="18"/>
              </w:rPr>
              <w:t>竞品矩阵</w:t>
            </w:r>
          </w:p>
        </w:tc>
        <w:tc>
          <w:tcPr>
            <w:tcW w:type="dxa" w:w="4703"/>
            <w:shd w:fill="F2F6FC" w:val="clear"/>
          </w:tcPr>
          <w:p>
            <w:r>
              <w:rPr>
                <w:rFonts w:ascii="微软雅黑" w:hAnsi="微软雅黑"/>
                <w:sz w:val="18"/>
              </w:rPr>
              <w:t>[我的知识]</w:t>
            </w:r>
          </w:p>
        </w:tc>
      </w:tr>
      <w:tr>
        <w:tc>
          <w:tcPr>
            <w:tcW w:type="dxa" w:w="4703"/>
          </w:tcPr>
          <w:p>
            <w:r>
              <w:rPr>
                <w:rFonts w:ascii="微软雅黑" w:hAnsi="微软雅黑"/>
                <w:sz w:val="18"/>
              </w:rPr>
              <w:t>行业场景映射</w:t>
            </w:r>
          </w:p>
        </w:tc>
        <w:tc>
          <w:tcPr>
            <w:tcW w:type="dxa" w:w="4703"/>
          </w:tcPr>
          <w:p>
            <w:r>
              <w:rPr>
                <w:rFonts w:ascii="微软雅黑" w:hAnsi="微软雅黑"/>
                <w:sz w:val="18"/>
              </w:rPr>
              <w:t>[我的知识]</w:t>
            </w:r>
          </w:p>
        </w:tc>
      </w:tr>
      <w:tr>
        <w:tc>
          <w:tcPr>
            <w:tcW w:type="dxa" w:w="4703"/>
            <w:shd w:fill="F2F6FC" w:val="clear"/>
          </w:tcPr>
          <w:p>
            <w:r>
              <w:rPr>
                <w:rFonts w:ascii="微软雅黑" w:hAnsi="微软雅黑"/>
                <w:sz w:val="18"/>
              </w:rPr>
              <w:t>方案模板</w:t>
            </w:r>
          </w:p>
        </w:tc>
        <w:tc>
          <w:tcPr>
            <w:tcW w:type="dxa" w:w="4703"/>
            <w:shd w:fill="F2F6FC" w:val="clear"/>
          </w:tcPr>
          <w:p>
            <w:r>
              <w:rPr>
                <w:rFonts w:ascii="微软雅黑" w:hAnsi="微软雅黑"/>
                <w:sz w:val="18"/>
              </w:rPr>
              <w:t>[我的知识]，配置价格清单需向深信服渠道经理获取最新报价</w:t>
            </w:r>
          </w:p>
        </w:tc>
      </w:tr>
      <w:tr>
        <w:tc>
          <w:tcPr>
            <w:tcW w:type="dxa" w:w="4703"/>
          </w:tcPr>
          <w:p>
            <w:r>
              <w:rPr>
                <w:rFonts w:ascii="微软雅黑" w:hAnsi="微软雅黑"/>
                <w:sz w:val="18"/>
              </w:rPr>
              <w:t>30 秒话术</w:t>
            </w:r>
          </w:p>
        </w:tc>
        <w:tc>
          <w:tcPr>
            <w:tcW w:type="dxa" w:w="4703"/>
          </w:tcPr>
          <w:p>
            <w:r>
              <w:rPr>
                <w:rFonts w:ascii="微软雅黑" w:hAnsi="微软雅黑"/>
                <w:sz w:val="18"/>
              </w:rPr>
              <w:t>[我的知识]</w:t>
            </w:r>
          </w:p>
        </w:tc>
      </w:tr>
    </w:tbl>
    <w:p/>
    <w:p>
      <w:r>
        <w:rPr>
          <w:rFonts w:ascii="微软雅黑" w:hAnsi="微软雅黑"/>
          <w:color w:val="999999"/>
          <w:sz w:val="20"/>
        </w:rPr>
        <w:t>标注 [需手动补充] 的项目建议通过以下途径获取：深信服官方文档、深信服渠道经理、最新报价单、具体客户案例。</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