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60"/>
        </w:rPr>
        <w:t>深信服 WAF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 w:val="0"/>
          <w:i w:val="0"/>
          <w:color w:val="2E74B5"/>
          <w:sz w:val="32"/>
        </w:rPr>
        <w:t>Web 应用防火墙 · 售前学习知识体系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 xml:space="preserve">定位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面向售前工程师的产品速学、客户交流、竞品应对与方案设计手册。</w:t>
            </w:r>
          </w:p>
        </w:tc>
      </w:tr>
    </w:tbl>
    <w:p>
      <w:pPr>
        <w:spacing w:after="20"/>
      </w:pP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9"/>
        </w:rPr>
        <w:t>版本：V1.0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9"/>
        </w:rPr>
        <w:t>生成日期：2026-06-12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7"/>
        </w:rPr>
        <w:t>说明：市场排名、产品规格、认证与报价均应以深信服最新官方材料及项目报价为准。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学习导航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建议先掌握“定位 → 核心能力 → 客户话术”，再进入竞品、行业和方案模块。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模块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学习目标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1. 厂商与产品速览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建立厂商、产品形态和产品边界的基础认知</w:t>
            </w:r>
          </w:p>
        </w:tc>
      </w:tr>
      <w:tr>
        <w:tc>
          <w:tcPr>
            <w:tcW w:type="dxa" w:w="23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2. 产品定位与客户画像</w:t>
            </w:r>
          </w:p>
        </w:tc>
        <w:tc>
          <w:tcPr>
            <w:tcW w:type="dxa" w:w="70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说清楚卖给谁、解决什么问题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3. 架构与部署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能画图、能选部署方式、能识别风险</w:t>
            </w:r>
          </w:p>
        </w:tc>
      </w:tr>
      <w:tr>
        <w:tc>
          <w:tcPr>
            <w:tcW w:type="dxa" w:w="23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4. 核心能力</w:t>
            </w:r>
          </w:p>
        </w:tc>
        <w:tc>
          <w:tcPr>
            <w:tcW w:type="dxa" w:w="70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掌握最有客户价值的五项能力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5. 发现问题清单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在需求交流中问到关键数据</w:t>
            </w:r>
          </w:p>
        </w:tc>
      </w:tr>
      <w:tr>
        <w:tc>
          <w:tcPr>
            <w:tcW w:type="dxa" w:w="23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6. 高频 FAQ</w:t>
            </w:r>
          </w:p>
        </w:tc>
        <w:tc>
          <w:tcPr>
            <w:tcW w:type="dxa" w:w="70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应对部署、误报、性能、合规与服务问题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7. 竞品与选型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公平比较，明确适配边界</w:t>
            </w:r>
          </w:p>
        </w:tc>
      </w:tr>
      <w:tr>
        <w:tc>
          <w:tcPr>
            <w:tcW w:type="dxa" w:w="23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8. 行业场景</w:t>
            </w:r>
          </w:p>
        </w:tc>
        <w:tc>
          <w:tcPr>
            <w:tcW w:type="dxa" w:w="70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切换到客户行业语言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9. 方案与 POC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形成可执行的实施、验证和报价输入</w:t>
            </w:r>
          </w:p>
        </w:tc>
      </w:tr>
      <w:tr>
        <w:tc>
          <w:tcPr>
            <w:tcW w:type="dxa" w:w="23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10. 话术速记</w:t>
            </w:r>
          </w:p>
        </w:tc>
        <w:tc>
          <w:tcPr>
            <w:tcW w:type="dxa" w:w="70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完成 30 秒、3 分钟和技术版表达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 xml:space="preserve">先记住一句话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深信服 WAF 位于互联网用户与 Web/API 业务之间，通过应用层检测与阻断，降低漏洞利用、Bot 滥用、网页篡改和敏感数据泄露风险。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1. 厂商与产品速览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维度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厂商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深信服科技股份有限公司（Sangfor Technologies），网络安全与云计算厂商</w:t>
            </w:r>
          </w:p>
        </w:tc>
      </w:tr>
      <w:tr>
        <w:tc>
          <w:tcPr>
            <w:tcW w:type="dxa" w:w="27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产品名称</w:t>
            </w:r>
          </w:p>
        </w:tc>
        <w:tc>
          <w:tcPr>
            <w:tcW w:type="dxa" w:w="66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Web 应用防火墙（WAF），包含硬件、虚拟化及云化等交付形态；具体形态以当前产品目录为准</w:t>
            </w:r>
          </w:p>
        </w:tc>
      </w:tr>
      <w:t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核心职责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检测和阻断 HTTP/HTTPS 应用层攻击，保护网站、Web 应用与 API</w:t>
            </w:r>
          </w:p>
        </w:tc>
      </w:tr>
      <w:tr>
        <w:tc>
          <w:tcPr>
            <w:tcW w:type="dxa" w:w="27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典型用户</w:t>
            </w:r>
          </w:p>
        </w:tc>
        <w:tc>
          <w:tcPr>
            <w:tcW w:type="dxa" w:w="66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政府、教育、医疗、金融、制造、互联网及各类拥有对外 Web 业务的组织</w:t>
            </w:r>
          </w:p>
        </w:tc>
      </w:tr>
      <w:t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常见联动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与下一代防火墙、终端检测响应、态势感知/安全运营平台及安全云联动</w:t>
            </w:r>
          </w:p>
        </w:tc>
      </w:tr>
      <w:tr>
        <w:tc>
          <w:tcPr>
            <w:tcW w:type="dxa" w:w="27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采购驱动</w:t>
            </w:r>
          </w:p>
        </w:tc>
        <w:tc>
          <w:tcPr>
            <w:tcW w:type="dxa" w:w="66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等保合规、护网重保、业务上线、API 暴露、攻击事件整改、老旧 WAF 替换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7A5A00"/>
                <w:sz w:val="20"/>
              </w:rPr>
              <w:t xml:space="preserve">边界提醒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WAF 不是代码审计、漏洞扫描、DDoS 清洗或主机防护的替代品。它提供应用入口处的实时防护，并应与研发整改、漏洞管理和安全运营协同。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2. 产品定位与客户画像</w:t>
      </w:r>
    </w:p>
    <w:p>
      <w:pPr>
        <w:pStyle w:val="Heading2"/>
        <w:keepNext/>
        <w:keepLines/>
        <w:keepNext/>
        <w:keepLines/>
      </w:pPr>
      <w:r>
        <w:t>2.1 一句话定位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 xml:space="preserve">标准表达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深信服 WAF 是面向 Web 与 API 业务的应用层安全防护产品，通过规则、行为分析、业务学习和威胁情报等能力，帮助客户降低已知及未知攻击、自动化滥用和数据泄露风险。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keepNext/>
        <w:keepLines/>
      </w:pPr>
      <w:r>
        <w:t>2.2 客户画像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角色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关注点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交流重点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CIO / CISO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业务连续性、监管责任、投入产出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风险影响、合规覆盖、整体安全联动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安全负责人</w:t>
            </w:r>
          </w:p>
        </w:tc>
        <w:tc>
          <w:tcPr>
            <w:tcW w:type="dxa" w:w="31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攻击防护、误报、处置闭环</w:t>
            </w:r>
          </w:p>
        </w:tc>
        <w:tc>
          <w:tcPr>
            <w:tcW w:type="dxa" w:w="44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检测机制、策略运营、告警联动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应用负责人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误拦截、上线效率、变更影响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学习模式、白名单、灰度上线、回滚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网络负责人</w:t>
            </w:r>
          </w:p>
        </w:tc>
        <w:tc>
          <w:tcPr>
            <w:tcW w:type="dxa" w:w="31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部署改造、性能、高可用</w:t>
            </w:r>
          </w:p>
        </w:tc>
        <w:tc>
          <w:tcPr>
            <w:tcW w:type="dxa" w:w="44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透明/代理部署、吞吐、SSL 性能、HA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采购与管理层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预算、服务、厂商能力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规格边界、服务 SLA、三年总体成本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keepNext/>
        <w:keepLines/>
      </w:pPr>
      <w:r>
        <w:t>2.3 三类核心痛点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防不住：传统规则难以及时覆盖变形攻击、漏洞利用和未知威胁。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不敢拦：业务复杂、策略缺少验证，担心误报误拦影响正常用户。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管不动：多站点、多云、多 API 导致资产、告警和策略运营成本持续上升。</w:t>
      </w:r>
    </w:p>
    <w:p>
      <w:pPr>
        <w:pStyle w:val="Heading1"/>
        <w:keepNext/>
        <w:keepLines/>
        <w:keepNext/>
        <w:keepLines/>
      </w:pPr>
      <w:r>
        <w:t>3. 架构与部署</w:t>
      </w:r>
    </w:p>
    <w:p>
      <w:pPr>
        <w:pStyle w:val="Heading2"/>
        <w:keepNext/>
        <w:keepLines/>
        <w:keepNext/>
        <w:keepLines/>
      </w:pPr>
      <w:r>
        <w:t>3.1 逻辑架构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 xml:space="preserve">流量路径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互联网用户 → 边界/DDoS 防护 → 深信服 WAF → 负载均衡或 Web/API 服务 → 数据与业务系统</w:t>
            </w:r>
          </w:p>
        </w:tc>
      </w:tr>
    </w:tbl>
    <w:p>
      <w:pPr>
        <w:spacing w:after="20"/>
      </w:pP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检测层：协议解析、规则检测、语义/行为分析、Bot 识别、API 风险识别。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处置层：告警、阻断、限速、挑战验证、白名单与自定义策略。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运营层：业务学习、报表、日志审计、策略优化及安全平台联动。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可靠性层：旁路学习、在线防护、高可用、故障绕行或回滚机制。</w:t>
      </w:r>
    </w:p>
    <w:p>
      <w:pPr>
        <w:pStyle w:val="Heading2"/>
        <w:keepNext/>
        <w:keepLines/>
        <w:keepNext/>
        <w:keepLines/>
      </w:pPr>
      <w:r>
        <w:t>3.2 部署方式选择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500"/>
        <w:gridCol w:w="2450"/>
        <w:gridCol w:w="296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方式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适用场景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优势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关键风险/前提</w:t>
            </w:r>
          </w:p>
        </w:tc>
      </w:tr>
      <w:tr>
        <w:tc>
          <w:tcPr>
            <w:tcW w:type="dxa" w:w="145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透明桥接</w:t>
            </w:r>
          </w:p>
        </w:tc>
        <w:tc>
          <w:tcPr>
            <w:tcW w:type="dxa" w:w="25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数据中心出口或 DMZ 在线部署</w:t>
            </w:r>
          </w:p>
        </w:tc>
        <w:tc>
          <w:tcPr>
            <w:tcW w:type="dxa" w:w="24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网络改造相对小，防护直接</w:t>
            </w:r>
          </w:p>
        </w:tc>
        <w:tc>
          <w:tcPr>
            <w:tcW w:type="dxa" w:w="2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需充分验证链路、HA 与故障绕行</w:t>
            </w:r>
          </w:p>
        </w:tc>
      </w:tr>
      <w:tr>
        <w:tc>
          <w:tcPr>
            <w:tcW w:type="dxa" w:w="145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反向代理</w:t>
            </w:r>
          </w:p>
        </w:tc>
        <w:tc>
          <w:tcPr>
            <w:tcW w:type="dxa" w:w="25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网站和 API 精细防护</w:t>
            </w:r>
          </w:p>
        </w:tc>
        <w:tc>
          <w:tcPr>
            <w:tcW w:type="dxa" w:w="245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可隐藏源站，策略和回源控制灵活</w:t>
            </w:r>
          </w:p>
        </w:tc>
        <w:tc>
          <w:tcPr>
            <w:tcW w:type="dxa" w:w="29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涉及 DNS、证书、回源及真实源 IP</w:t>
            </w:r>
          </w:p>
        </w:tc>
      </w:tr>
      <w:tr>
        <w:tc>
          <w:tcPr>
            <w:tcW w:type="dxa" w:w="145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旁路镜像</w:t>
            </w:r>
          </w:p>
        </w:tc>
        <w:tc>
          <w:tcPr>
            <w:tcW w:type="dxa" w:w="25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POC、审计、上线前学习</w:t>
            </w:r>
          </w:p>
        </w:tc>
        <w:tc>
          <w:tcPr>
            <w:tcW w:type="dxa" w:w="24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对业务链路影响小</w:t>
            </w:r>
          </w:p>
        </w:tc>
        <w:tc>
          <w:tcPr>
            <w:tcW w:type="dxa" w:w="2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通常只能检测，阻断能力受限</w:t>
            </w:r>
          </w:p>
        </w:tc>
      </w:tr>
      <w:tr>
        <w:tc>
          <w:tcPr>
            <w:tcW w:type="dxa" w:w="145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虚拟/云化</w:t>
            </w:r>
          </w:p>
        </w:tc>
        <w:tc>
          <w:tcPr>
            <w:tcW w:type="dxa" w:w="25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私有云、公有云、政务云</w:t>
            </w:r>
          </w:p>
        </w:tc>
        <w:tc>
          <w:tcPr>
            <w:tcW w:type="dxa" w:w="245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部署弹性高，适配云资源</w:t>
            </w:r>
          </w:p>
        </w:tc>
        <w:tc>
          <w:tcPr>
            <w:tcW w:type="dxa" w:w="29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需核验平台兼容、流量牵引和许可</w:t>
            </w:r>
          </w:p>
        </w:tc>
      </w:tr>
      <w:tr>
        <w:tc>
          <w:tcPr>
            <w:tcW w:type="dxa" w:w="145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SaaS 云 WAF</w:t>
            </w:r>
          </w:p>
        </w:tc>
        <w:tc>
          <w:tcPr>
            <w:tcW w:type="dxa" w:w="25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公网域名、分支或快速上线</w:t>
            </w:r>
          </w:p>
        </w:tc>
        <w:tc>
          <w:tcPr>
            <w:tcW w:type="dxa" w:w="24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交付快、运维轻</w:t>
            </w:r>
          </w:p>
        </w:tc>
        <w:tc>
          <w:tcPr>
            <w:tcW w:type="dxa" w:w="2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需核验回源、数据边界、带宽与 SLA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7A5A00"/>
                <w:sz w:val="20"/>
              </w:rPr>
              <w:t xml:space="preserve">选型关键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WAF 规格不能只看互联网出口带宽。应同时核验 HTTP/HTTPS 峰值、每秒新建连接、并发连接、平均响应大小、SSL 比例、证书数量、开启的安全模块及未来增长。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4. 核心能力 TOP 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能力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客户价值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验证重点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Web 攻击防护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阻断 SQL 注入、XSS、命令执行、文件包含等应用层攻击</w:t>
            </w:r>
          </w:p>
        </w:tc>
        <w:tc>
          <w:tcPr>
            <w:tcW w:type="dxa" w:w="32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真实业务流量、绕过样例、误报与日志证据</w:t>
            </w:r>
          </w:p>
        </w:tc>
      </w:tr>
      <w:tr>
        <w:tc>
          <w:tcPr>
            <w:tcW w:type="dxa" w:w="19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未知攻击识别</w:t>
            </w:r>
          </w:p>
        </w:tc>
        <w:tc>
          <w:tcPr>
            <w:tcW w:type="dxa" w:w="42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降低仅依赖已知特征带来的防护滞后</w:t>
            </w:r>
          </w:p>
        </w:tc>
        <w:tc>
          <w:tcPr>
            <w:tcW w:type="dxa" w:w="32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语义/行为检测机制、无规则样例、解释能力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Bot 与自动化滥用防护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缓解爬虫、撞库、刷单、抢号及资源消耗</w:t>
            </w:r>
          </w:p>
        </w:tc>
        <w:tc>
          <w:tcPr>
            <w:tcW w:type="dxa" w:w="32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真人体验、脚本识别、挑战和限速策略</w:t>
            </w:r>
          </w:p>
        </w:tc>
      </w:tr>
      <w:tr>
        <w:tc>
          <w:tcPr>
            <w:tcW w:type="dxa" w:w="19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API 安全防护</w:t>
            </w:r>
          </w:p>
        </w:tc>
        <w:tc>
          <w:tcPr>
            <w:tcW w:type="dxa" w:w="42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发现和保护开放 API，降低未授权、注入和敏感数据泄露风险</w:t>
            </w:r>
          </w:p>
        </w:tc>
        <w:tc>
          <w:tcPr>
            <w:tcW w:type="dxa" w:w="32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API 发现、鉴权异常、参数检测、资产变化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运营与联动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降低策略维护和事件处置成本</w:t>
            </w:r>
          </w:p>
        </w:tc>
        <w:tc>
          <w:tcPr>
            <w:tcW w:type="dxa" w:w="32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业务学习、告警聚合、报表、平台/接口联动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keepNext/>
        <w:keepLines/>
      </w:pPr>
      <w:r>
        <w:t>4.1 客户价值话术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对管理层：WAF 把应用攻击风险控制在业务入口，并提供可审计的防护与处置证据。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对安全团队：从“看见攻击”升级到“准确阻断、持续调优、闭环运营”。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对应用团队：先学习、后灰度、再阻断，让安全策略跟随业务变化，而不是阻碍上线。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对网络团队：通过合适的部署与高可用设计，兼顾安全检测和业务连续性。</w:t>
      </w:r>
    </w:p>
    <w:p>
      <w:pPr>
        <w:pStyle w:val="Heading1"/>
        <w:keepNext/>
        <w:keepLines/>
        <w:keepNext/>
        <w:keepLines/>
      </w:pPr>
      <w:r>
        <w:t>5. 需求发现问题清单</w:t>
      </w:r>
    </w:p>
    <w:p>
      <w:pPr>
        <w:pStyle w:val="Heading2"/>
        <w:keepNext/>
        <w:keepLines/>
        <w:keepNext/>
        <w:keepLines/>
      </w:pPr>
      <w:r>
        <w:t>5.1 必问十题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需要保护多少个域名、站点和 API？哪些属于核心业务？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当前 HTTP/HTTPS 峰值带宽、并发连接和每秒新建连接是多少？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HTTPS 流量占比、证书数量与证书管理方式是什么？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现网是否已有 WAF？主要痛点是误报、性能、功能还是运维？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过去一年发生过哪些 Web 攻击、篡改、爬虫或数据泄露事件？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是否存在移动应用、小程序、前后端分离、微服务或开放 API？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业务发布频率多高？策略变更由谁审批，是否有灰度与回滚流程？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部署环境是物理数据中心、私有云、公有云还是混合云？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需要对接哪些平台：日志审计、态势感知、SOC、工单或短信/微信？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项目验收以什么为准：攻击阻断率、误报率、性能、合规报告还是服务 SLA？</w:t>
      </w:r>
    </w:p>
    <w:p>
      <w:pPr>
        <w:pStyle w:val="Heading2"/>
        <w:keepNext/>
        <w:keepLines/>
        <w:keepNext/>
        <w:keepLines/>
      </w:pPr>
      <w:r>
        <w:t>5.2 红旗信号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CE8E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0"/>
              </w:rPr>
              <w:t xml:space="preserve">需要进一步澄清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客户只提供出口带宽；要求“零误报、零漏报”；未说明 HTTPS 比例；没有业务负责人参与；希望上线即全拦截；未规划 HA 和回滚。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6. 高频 FAQ</w:t>
      </w:r>
    </w:p>
    <w:p>
      <w:pPr>
        <w:pStyle w:val="Heading2"/>
        <w:keepNext/>
        <w:keepLines/>
        <w:keepNext/>
        <w:keepLines/>
      </w:pPr>
      <w:r>
        <w:t>6.1 标准应答</w:t>
      </w:r>
    </w:p>
    <w:p>
      <w:pPr>
        <w:pStyle w:val="Heading3"/>
        <w:keepNext/>
        <w:keepLines/>
        <w:keepNext/>
        <w:keepLines/>
      </w:pPr>
      <w:r>
        <w:t>WAF 和下一代防火墙有什么区别？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下一代防火墙覆盖更广的网络边界与应用识别，WAF 专注 HTTP/HTTPS 业务语义和 Web/API 攻击。两者是互补关系。</w:t>
      </w:r>
    </w:p>
    <w:p>
      <w:pPr>
        <w:pStyle w:val="Heading3"/>
        <w:keepNext/>
        <w:keepLines/>
        <w:keepNext/>
        <w:keepLines/>
      </w:pPr>
      <w:r>
        <w:t>上线会不会影响业务？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在线部署必然需要评估。建议先旁路或学习模式观察，再灰度启用阻断；同时验证性能、HA、故障绕行和回滚。</w:t>
      </w:r>
    </w:p>
    <w:p>
      <w:pPr>
        <w:pStyle w:val="Heading3"/>
        <w:keepNext/>
        <w:keepLines/>
        <w:keepNext/>
        <w:keepLines/>
      </w:pPr>
      <w:r>
        <w:t>误报率能做到多少？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误报取决于业务复杂度、策略和运营流程，不应承诺固定数字。通过业务学习、白名单、策略分级和灰度阻断持续降低。</w:t>
      </w:r>
    </w:p>
    <w:p>
      <w:pPr>
        <w:pStyle w:val="Heading3"/>
        <w:keepNext/>
        <w:keepLines/>
        <w:keepNext/>
        <w:keepLines/>
      </w:pPr>
      <w:r>
        <w:t>能不能防 0Day？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行为或语义检测有机会识别未收录攻击，但任何产品都不能承诺覆盖所有 0Day。应通过 POC 验证具体样例，并结合虚拟补丁和应急响应。</w:t>
      </w:r>
    </w:p>
    <w:p>
      <w:pPr>
        <w:pStyle w:val="Heading3"/>
        <w:keepNext/>
        <w:keepLines/>
        <w:keepNext/>
        <w:keepLines/>
      </w:pPr>
      <w:r>
        <w:t>HTTPS 怎么检测？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WAF 需具备证书和私钥处理能力，或在合适位置完成解密。必须核验 SSL 性能、证书管理、安全边界与合规要求。</w:t>
      </w:r>
    </w:p>
    <w:p>
      <w:pPr>
        <w:pStyle w:val="Heading3"/>
        <w:keepNext/>
        <w:keepLines/>
        <w:keepNext/>
        <w:keepLines/>
      </w:pPr>
      <w:r>
        <w:t>是否需要服务器 Agent？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主要 WAF 防护通常不要求 Agent；网页防篡改等特定功能可能涉及服务端组件，需按当前版本和方案核验。</w:t>
      </w:r>
    </w:p>
    <w:p>
      <w:pPr>
        <w:pStyle w:val="Heading3"/>
        <w:keepNext/>
        <w:keepLines/>
        <w:keepNext/>
        <w:keepLines/>
      </w:pPr>
      <w:r>
        <w:t>如何满足等保？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WAF 可支撑边界防护、入侵防范和安全审计等要求，但等保是体系化建设，不能仅凭一台 WAF 保证通过。</w:t>
      </w:r>
    </w:p>
    <w:p>
      <w:pPr>
        <w:pStyle w:val="Heading3"/>
        <w:keepNext/>
        <w:keepLines/>
        <w:keepNext/>
        <w:keepLines/>
      </w:pPr>
      <w:r>
        <w:t>日志能保存多久？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取决于设备存储、日志量、授权和外部日志平台。项目中应按监管要求设计留存与检索能力。</w:t>
      </w:r>
    </w:p>
    <w:p>
      <w:pPr>
        <w:pStyle w:val="Heading3"/>
        <w:keepNext/>
        <w:keepLines/>
        <w:keepNext/>
        <w:keepLines/>
      </w:pPr>
      <w:r>
        <w:t>和深信服其他产品如何联动？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可围绕告警共享、威胁情报、事件分析和处置闭环设计联动，具体接口及能力以当前版本为准。</w:t>
      </w:r>
    </w:p>
    <w:p>
      <w:pPr>
        <w:pStyle w:val="Heading3"/>
        <w:keepNext/>
        <w:keepLines/>
        <w:keepNext/>
        <w:keepLines/>
      </w:pPr>
      <w:r>
        <w:t>怎么报价？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先基于流量、连接、SSL、站点/API 数量、功能模块、HA 和服务年限完成规格选型，再形成正式报价。</w:t>
      </w:r>
    </w:p>
    <w:p>
      <w:pPr>
        <w:pStyle w:val="Heading1"/>
        <w:keepNext/>
        <w:keepLines/>
        <w:keepNext/>
        <w:keepLines/>
      </w:pPr>
      <w:r>
        <w:t>7. 竞品与选型</w:t>
      </w:r>
    </w:p>
    <w:p>
      <w:pPr>
        <w:pStyle w:val="Heading2"/>
        <w:keepNext/>
        <w:keepLines/>
        <w:keepNext/>
        <w:keepLines/>
      </w:pPr>
      <w:r>
        <w:t>7.1 公平比较框架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维度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应比较什么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POC 证据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检测能力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已知攻击、变形攻击、业务逻辑/API/Bot 风险</w:t>
            </w:r>
          </w:p>
        </w:tc>
        <w:tc>
          <w:tcPr>
            <w:tcW w:type="dxa" w:w="35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统一攻击样例与原始日志</w:t>
            </w:r>
          </w:p>
        </w:tc>
      </w:tr>
      <w:tr>
        <w:tc>
          <w:tcPr>
            <w:tcW w:type="dxa" w:w="17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准确性</w:t>
            </w:r>
          </w:p>
        </w:tc>
        <w:tc>
          <w:tcPr>
            <w:tcW w:type="dxa" w:w="41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误报、漏报、告警解释与调优效率</w:t>
            </w:r>
          </w:p>
        </w:tc>
        <w:tc>
          <w:tcPr>
            <w:tcW w:type="dxa" w:w="35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真实业务回放与人工复核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性能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开启核心防护与 SSL 后的真实吞吐和延迟</w:t>
            </w:r>
          </w:p>
        </w:tc>
        <w:tc>
          <w:tcPr>
            <w:tcW w:type="dxa" w:w="35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统一流量模型、持续压测</w:t>
            </w:r>
          </w:p>
        </w:tc>
      </w:tr>
      <w:tr>
        <w:tc>
          <w:tcPr>
            <w:tcW w:type="dxa" w:w="17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运营</w:t>
            </w:r>
          </w:p>
        </w:tc>
        <w:tc>
          <w:tcPr>
            <w:tcW w:type="dxa" w:w="41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学习、策略、报表、告警和联动</w:t>
            </w:r>
          </w:p>
        </w:tc>
        <w:tc>
          <w:tcPr>
            <w:tcW w:type="dxa" w:w="35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管理员实际操作与工单闭环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可靠性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HA、故障绕行、升级与回滚</w:t>
            </w:r>
          </w:p>
        </w:tc>
        <w:tc>
          <w:tcPr>
            <w:tcW w:type="dxa" w:w="35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断电、重启、链路和升级测试</w:t>
            </w:r>
          </w:p>
        </w:tc>
      </w:tr>
      <w:tr>
        <w:tc>
          <w:tcPr>
            <w:tcW w:type="dxa" w:w="17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服务与成本</w:t>
            </w:r>
          </w:p>
        </w:tc>
        <w:tc>
          <w:tcPr>
            <w:tcW w:type="dxa" w:w="41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交付、SLA、维保、订阅和三年成本</w:t>
            </w:r>
          </w:p>
        </w:tc>
        <w:tc>
          <w:tcPr>
            <w:tcW w:type="dxa" w:w="35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合同条款与正式报价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keepNext/>
        <w:keepLines/>
      </w:pPr>
      <w:r>
        <w:t>7.2 常见竞品应对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00"/>
        <w:gridCol w:w="3000"/>
        <w:gridCol w:w="21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竞品类型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常见优势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深信服切入点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注意事项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综合安全厂商 WAF</w:t>
            </w:r>
          </w:p>
        </w:tc>
        <w:tc>
          <w:tcPr>
            <w:tcW w:type="dxa" w:w="24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产品成熟、行业案例和安全生态完整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强调现有深信服生态联动、易运营与交付服务</w:t>
            </w:r>
          </w:p>
        </w:tc>
        <w:tc>
          <w:tcPr>
            <w:tcW w:type="dxa" w:w="21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不要用未经核验的市场排名压客户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应用安全专业厂商</w:t>
            </w:r>
          </w:p>
        </w:tc>
        <w:tc>
          <w:tcPr>
            <w:tcW w:type="dxa" w:w="24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语义检测、攻击研究和专业能力突出</w:t>
            </w:r>
          </w:p>
        </w:tc>
        <w:tc>
          <w:tcPr>
            <w:tcW w:type="dxa" w:w="30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强调多形态交付、整体方案、服务覆盖和平台联动</w:t>
            </w:r>
          </w:p>
        </w:tc>
        <w:tc>
          <w:tcPr>
            <w:tcW w:type="dxa" w:w="21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正面承认其专业优势，转向客户适配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云厂商 WAF</w:t>
            </w:r>
          </w:p>
        </w:tc>
        <w:tc>
          <w:tcPr>
            <w:tcW w:type="dxa" w:w="24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云上接入快、弹性强、与云资源整合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强调混合云、线下核心业务和统一安全运营</w:t>
            </w:r>
          </w:p>
        </w:tc>
        <w:tc>
          <w:tcPr>
            <w:tcW w:type="dxa" w:w="21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核验客户云归属及数据边界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开源 WAF</w:t>
            </w:r>
          </w:p>
        </w:tc>
        <w:tc>
          <w:tcPr>
            <w:tcW w:type="dxa" w:w="24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成本低、可定制、社区活跃</w:t>
            </w:r>
          </w:p>
        </w:tc>
        <w:tc>
          <w:tcPr>
            <w:tcW w:type="dxa" w:w="30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强调企业级 HA、规则运营、审计、服务与责任边界</w:t>
            </w:r>
          </w:p>
        </w:tc>
        <w:tc>
          <w:tcPr>
            <w:tcW w:type="dxa" w:w="21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技术团队强的客户可能更看重可控性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 xml:space="preserve">竞争原则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不贬低竞品，不承诺绝对领先。把讨论拉回客户环境、可验证指标、实施风险和三年总体成本。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8. 行业场景映射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3000"/>
        <w:gridCol w:w="256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行业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典型场景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主推价值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交流语言</w:t>
            </w:r>
          </w:p>
        </w:tc>
      </w:tr>
      <w:t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政府</w:t>
            </w:r>
          </w:p>
        </w:tc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政务网站、互联网门户、护网重保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防篡改、等保支撑、信创与审计</w:t>
            </w:r>
          </w:p>
        </w:tc>
        <w:tc>
          <w:tcPr>
            <w:tcW w:type="dxa" w:w="25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公信力、重保、整改闭环</w:t>
            </w:r>
          </w:p>
        </w:tc>
      </w:tr>
      <w:tr>
        <w:tc>
          <w:tcPr>
            <w:tcW w:type="dxa" w:w="12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教育</w:t>
            </w:r>
          </w:p>
        </w:tc>
        <w:tc>
          <w:tcPr>
            <w:tcW w:type="dxa" w:w="26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招生、选课、统一门户</w:t>
            </w:r>
          </w:p>
        </w:tc>
        <w:tc>
          <w:tcPr>
            <w:tcW w:type="dxa" w:w="30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高峰保障、Bot 治理、轻运维</w:t>
            </w:r>
          </w:p>
        </w:tc>
        <w:tc>
          <w:tcPr>
            <w:tcW w:type="dxa" w:w="25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公平访问、招生季、少人运维</w:t>
            </w:r>
          </w:p>
        </w:tc>
      </w:tr>
      <w:t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医疗</w:t>
            </w:r>
          </w:p>
        </w:tc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预约挂号、互联网医院、患者服务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Bot/接口防护、隐私与连续性</w:t>
            </w:r>
          </w:p>
        </w:tc>
        <w:tc>
          <w:tcPr>
            <w:tcW w:type="dxa" w:w="25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挂号公平、患者数据、业务不中断</w:t>
            </w:r>
          </w:p>
        </w:tc>
      </w:tr>
      <w:tr>
        <w:tc>
          <w:tcPr>
            <w:tcW w:type="dxa" w:w="12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金融</w:t>
            </w:r>
          </w:p>
        </w:tc>
        <w:tc>
          <w:tcPr>
            <w:tcW w:type="dxa" w:w="26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网银、移动端 API、营销活动</w:t>
            </w:r>
          </w:p>
        </w:tc>
        <w:tc>
          <w:tcPr>
            <w:tcW w:type="dxa" w:w="30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精准防护、低误报、审计与高可用</w:t>
            </w:r>
          </w:p>
        </w:tc>
        <w:tc>
          <w:tcPr>
            <w:tcW w:type="dxa" w:w="25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交易连续性、监管、风险可追溯</w:t>
            </w:r>
          </w:p>
        </w:tc>
      </w:tr>
      <w:t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制造</w:t>
            </w:r>
          </w:p>
        </w:tc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官网、供应链、经销商门户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API 与外网应用防护、混合部署</w:t>
            </w:r>
          </w:p>
        </w:tc>
        <w:tc>
          <w:tcPr>
            <w:tcW w:type="dxa" w:w="25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供应链协同、商业数据、工厂连续性</w:t>
            </w:r>
          </w:p>
        </w:tc>
      </w:tr>
      <w:tr>
        <w:tc>
          <w:tcPr>
            <w:tcW w:type="dxa" w:w="12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互联网</w:t>
            </w:r>
          </w:p>
        </w:tc>
        <w:tc>
          <w:tcPr>
            <w:tcW w:type="dxa" w:w="26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开放 API、电商、活动平台</w:t>
            </w:r>
          </w:p>
        </w:tc>
        <w:tc>
          <w:tcPr>
            <w:tcW w:type="dxa" w:w="30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API/Bot、防刷与弹性运营</w:t>
            </w:r>
          </w:p>
        </w:tc>
        <w:tc>
          <w:tcPr>
            <w:tcW w:type="dxa" w:w="25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转化率、资源成本、快速发布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9. 标准方案与 POC</w:t>
      </w:r>
    </w:p>
    <w:p>
      <w:pPr>
        <w:pStyle w:val="Heading2"/>
        <w:keepNext/>
        <w:keepLines/>
        <w:keepNext/>
        <w:keepLines/>
      </w:pPr>
      <w:r>
        <w:t>9.1 典型方案结构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现状与风险：梳理业务、资产、流量、攻击事件、合规和现网问题。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总体设计：明确流量路径、部署方式、防护域、HA、日志与平台联动。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策略设计：按业务分组，先学习和告警，再灰度阻断，形成变更与回滚机制。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运营设计：明确告警分级、责任人、处置 SLA、报表、复盘和策略调优周期。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实施验收：通过 POC、压测、故障测试、攻击验证和运维培训完成交付。</w:t>
      </w:r>
    </w:p>
    <w:p>
      <w:pPr>
        <w:pStyle w:val="Heading2"/>
        <w:keepNext/>
        <w:keepLines/>
        <w:keepNext/>
        <w:keepLines/>
      </w:pPr>
      <w:r>
        <w:t>9.2 POC 验证清单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类别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验证项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建议通过标准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接入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透明/代理接入、真实源 IP、证书、回源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业务访问正常，日志字段完整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检测</w:t>
            </w:r>
          </w:p>
        </w:tc>
        <w:tc>
          <w:tcPr>
            <w:tcW w:type="dxa" w:w="42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SQL 注入、XSS、命令执行、文件上传等样例</w:t>
            </w:r>
          </w:p>
        </w:tc>
        <w:tc>
          <w:tcPr>
            <w:tcW w:type="dxa" w:w="36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按预期告警或阻断，证据清晰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准确性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真实业务回放、白名单和策略调优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关键业务无不可接受误拦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Bot/API</w:t>
            </w:r>
          </w:p>
        </w:tc>
        <w:tc>
          <w:tcPr>
            <w:tcW w:type="dxa" w:w="42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脚本访问、撞库、API 异常参数和未授权访问</w:t>
            </w:r>
          </w:p>
        </w:tc>
        <w:tc>
          <w:tcPr>
            <w:tcW w:type="dxa" w:w="36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识别与处置符合场景预期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性能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开启约定功能后的峰值、延迟和稳定性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达到双方书面确认的测试指标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可靠性</w:t>
            </w:r>
          </w:p>
        </w:tc>
        <w:tc>
          <w:tcPr>
            <w:tcW w:type="dxa" w:w="42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HA、重启、断链、升级和回滚</w:t>
            </w:r>
          </w:p>
        </w:tc>
        <w:tc>
          <w:tcPr>
            <w:tcW w:type="dxa" w:w="36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不产生不可接受业务中断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运营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报表、告警、接口联动、权限和审计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满足运维与合规人员使用要求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keepNext/>
        <w:keepLines/>
      </w:pPr>
      <w:r>
        <w:t>9.3 报价输入表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输入项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需确认内容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业务规模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域名、站点、API 数量及核心业务清单</w:t>
            </w:r>
          </w:p>
        </w:tc>
      </w:tr>
      <w:tr>
        <w:tc>
          <w:tcPr>
            <w:tcW w:type="dxa" w:w="23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性能</w:t>
            </w:r>
          </w:p>
        </w:tc>
        <w:tc>
          <w:tcPr>
            <w:tcW w:type="dxa" w:w="70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峰值 HTTP/HTTPS 带宽、并发、新建连接、SSL 比例及增长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部署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物理/虚拟/云/SaaS、单机或 HA、机房与链路</w:t>
            </w:r>
          </w:p>
        </w:tc>
      </w:tr>
      <w:tr>
        <w:tc>
          <w:tcPr>
            <w:tcW w:type="dxa" w:w="23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功能</w:t>
            </w:r>
          </w:p>
        </w:tc>
        <w:tc>
          <w:tcPr>
            <w:tcW w:type="dxa" w:w="70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Web 防护、Bot、API、防篡改、日志与平台联动等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服务</w:t>
            </w:r>
          </w:p>
        </w:tc>
        <w:tc>
          <w:tcPr>
            <w:tcW w:type="dxa" w:w="70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实施、POC、培训、维保年限、SLA 与驻场需求</w:t>
            </w:r>
          </w:p>
        </w:tc>
      </w:tr>
      <w:tr>
        <w:tc>
          <w:tcPr>
            <w:tcW w:type="dxa" w:w="230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合规</w:t>
            </w:r>
          </w:p>
        </w:tc>
        <w:tc>
          <w:tcPr>
            <w:tcW w:type="dxa" w:w="7060"/>
            <w:shd w:fill="F8FA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等保、信创、行业监管、日志留存及数据边界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7A5A00"/>
                <w:sz w:val="20"/>
              </w:rPr>
              <w:t xml:space="preserve">报价提醒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不要在需求未澄清时给出确定型号或价格。正式型号、性能、授权、认证、维保及折扣必须使用深信服当前官方材料和项目报价单。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10. 话术速记</w:t>
      </w:r>
    </w:p>
    <w:p>
      <w:pPr>
        <w:pStyle w:val="Heading2"/>
        <w:keepNext/>
        <w:keepLines/>
        <w:keepNext/>
        <w:keepLines/>
      </w:pPr>
      <w:r>
        <w:t>10.1 30 秒版本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 xml:space="preserve">电梯话术  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深信服 WAF 专门保护网站和 API 业务。它部署在用户和业务系统之间，识别并阻断 SQL 注入、XSS、命令执行、Bot 滥用等风险，同时通过业务学习和策略调优降低误拦。我们会根据您的 HTTPS 峰值、站点/API 数量、部署环境和合规要求设计方案，并通过 POC 验证防护准确性、性能和高可用。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keepNext/>
        <w:keepLines/>
      </w:pPr>
      <w:r>
        <w:t>10.2 3 分钟交流结构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先问业务：哪些网站/API 最关键，近期发生过什么风险？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再讲风险：传统边界防护难以理解 Web/API 业务语义。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再讲方案：WAF 提供入口检测、精准阻断、Bot/API 防护和运营联动。</w:t>
      </w:r>
    </w:p>
    <w:p>
      <w:pPr>
        <w:pStyle w:val="ListNumber"/>
        <w:spacing w:after="60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最后落地：用真实业务 POC 验证误报、性能、可靠性和运维流程。</w:t>
      </w:r>
    </w:p>
    <w:p>
      <w:pPr>
        <w:pStyle w:val="Heading2"/>
        <w:keepNext/>
        <w:keepLines/>
        <w:keepNext/>
        <w:keepLines/>
      </w:pPr>
      <w:r>
        <w:t>10.3 售前禁区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不要承诺零误报、零漏报、绝对防住所有 0Day。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不要引用无法提供出处的市场第一、性能数字或客户成效。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不要把等保通过、应急响应或代码整改完全归因于 WAF。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不要绕过应用、网络和合规负责人直接确定部署与阻断策略。</w:t>
      </w:r>
    </w:p>
    <w:p>
      <w:pPr>
        <w:pStyle w:val="Heading1"/>
        <w:keepNext/>
        <w:keepLines/>
        <w:keepNext/>
        <w:keepLines/>
      </w:pPr>
      <w:r>
        <w:t>附录：核验与资料清单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以下内容应在正式交流、方案和投标前，从深信服最新官方渠道或项目经理处核验：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当前在售型号、性能参数、端口规格、授权模块和兼容平台。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Web、Bot、API、防篡改等功能的当前版本边界与部署要求。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信创适配、公安部销售许可、检测报告及行业认证。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安全平台联动接口、日志格式、留存能力与告警通知方式。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服务 SLA、维保政策、规则更新机制与应急响应范围。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222222"/>
          <w:sz w:val="20"/>
        </w:rPr>
        <w:t>正式报价、折扣、订阅周期、扩容方式及三年总体成本。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/>
          <w:color w:val="666666"/>
          <w:sz w:val="21"/>
        </w:rPr>
        <w:t>建议优先资料：产品彩页、技术白皮书、部署手册、规格选型表、POC 测试方案、最新认证证书、项目报价单。</w:t>
      </w:r>
    </w:p>
    <w:sectPr>
      <w:headerReference w:type="default" r:id="rId9"/>
      <w:footerReference w:type="default" r:id="rId10"/>
      <w:pgSz w:w="12240" w:h="15840"/>
      <w:pgMar w:top="1123" w:right="1238" w:bottom="1037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6666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6666"/>
        <w:sz w:val="17"/>
      </w:rPr>
      <w:t>深信服 WAF | 售前学习知识体系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深信服 WAF 售前学习知识体系</dc:title>
  <dc:subject>深信服 Web 应用防火墙产品学习与售前参考</dc:subject>
  <dc:creator/>
  <cp:keywords/>
  <dc:description>市场、规格、认证与报价信息需以深信服最新官方材料为准。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