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Overview</w:t>
      </w:r>
    </w:p>
    <w:p>
      <w:pPr>
        <w:pStyle w:val="Heading1"/>
      </w:pPr>
      <w:r>
        <w:t>Section 1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Preliminary findings suggest that further analysis is required before any conclusions can be finalized or presented externally.</w:t>
      </w:r>
    </w:p>
    <w:p>
      <w:r>
        <w:t>Additional data is needed to validate these assumptions, and a follow-up meeting has been tentatively scheduled to address open questions.</w:t>
      </w:r>
    </w:p>
    <w:p>
      <w:r>
        <w:t>The following points summarize feedback gathered during recent stakeholder discussions and internal check-ins.</w:t>
      </w:r>
    </w:p>
    <w:p>
      <w:r>
        <w:t>Metrics presented here are provisional and should not be treated as final figures until confirmed by the reporting team.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p>
      <w:r>
        <w:t>The team continues to iterate on the proposed approach, incorporating feedback from earlier rounds of review.</w:t>
      </w:r>
    </w:p>
    <w:p>
      <w:r>
        <w:t>Additional data is needed to validate these assumptions, and a follow-up meeting has been tentatively scheduled to address open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