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Overview</w:t>
      </w:r>
    </w:p>
    <w:p>
      <w:pPr>
        <w:pStyle w:val="Heading1"/>
      </w:pPr>
      <w:r>
        <w:t>Section 1</w:t>
      </w:r>
    </w:p>
    <w:p>
      <w:r>
        <w:t>This section outlines the current status of the project and next steps for the team to consider before the next review cycle.</w:t>
      </w:r>
    </w:p>
    <w:p>
      <w:r>
        <w:t>Metrics presented here are provisional and should not be treated as final figures until confirmed by the reporting team.</w:t>
      </w:r>
    </w:p>
    <w:p>
      <w:r>
        <w:br w:type="page"/>
      </w:r>
    </w:p>
    <w:p>
      <w:pPr>
        <w:pStyle w:val="Heading1"/>
      </w:pPr>
      <w:r>
        <w:t>Section 2</w:t>
      </w:r>
    </w:p>
    <w:p>
      <w:r>
        <w:t>The following points summarize feedback gathered during recent stakeholder discussions and internal check-ins.</w:t>
      </w:r>
    </w:p>
    <w:p>
      <w:r>
        <w:t>Metrics presented here are provisional and should not be treated as final figures until confirmed by the reporting team.</w:t>
      </w:r>
    </w:p>
    <w:p>
      <w:r>
        <w:t>This section outlines the current status of the project and next steps for the team to consider before the next review cycle.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