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PUB LIMS Operational Summary Report</w:t>
      </w:r>
    </w:p>
    <w:p>
      <w:r>
        <w:t>PUB LIMS Operational Summary Report</w:t>
        <w:br/>
        <w:t>============================================================</w:t>
        <w:br/>
        <w:t xml:space="preserve">This report summarizes sampling program outputs, reporting </w:t>
        <w:br/>
        <w:t xml:space="preserve">limit distributions, and parameter classifications from the </w:t>
        <w:br/>
        <w:t xml:space="preserve">LIMS system. Charts referenced represent frequency distributions, </w:t>
        <w:br/>
        <w:t>distinct sampling coverage, and classification breakdowns.</w:t>
        <w:br/>
      </w:r>
    </w:p>
    <w:p>
      <w:r>
        <w:br/>
        <w:t>Charts</w:t>
        <w:br/>
        <w:t>------------------------------------------------------------</w:t>
        <w:br/>
        <w:t>1. Counts by Frequency per Matrix</w:t>
        <w:br/>
        <w:t xml:space="preserve">   [CHART: counts_by_freq_matrix.png]</w:t>
        <w:br/>
        <w:t xml:space="preserve">   - Distribution mains dominate quarterly and monthly schedules.</w:t>
        <w:br/>
        <w:br/>
        <w:t>2. Distinct Sampling Points by Source</w:t>
        <w:br/>
        <w:t xml:space="preserve">   [CHART: distinct_sampling_points_by_source.png]</w:t>
        <w:br/>
        <w:t xml:space="preserve">   - Direct supply has the highest count (~310 points).</w:t>
        <w:br/>
        <w:br/>
        <w:t>3. Parameters by Classification</w:t>
        <w:br/>
        <w:t xml:space="preserve">   [CHART: parameters_by_classification.png]</w:t>
        <w:br/>
        <w:t xml:space="preserve">   - Radiological Quality accounts for majority of tests </w:t>
        <w:br/>
        <w:t xml:space="preserve">     (&gt;900,000 codes).</w:t>
        <w:br/>
        <w:br/>
        <w:t>4. RL Distribution</w:t>
        <w:br/>
        <w:t xml:space="preserve">   [CHART: rl_distribution.png]</w:t>
        <w:br/>
        <w:t xml:space="preserve">   - Most results clustered ≤ 1.0 mg/L with secondary peaks </w:t>
        <w:br/>
        <w:t xml:space="preserve">     at 5, 9, 12 mg/L bins.</w:t>
        <w:br/>
        <w:br/>
        <w:t>5. Sampling Workflow</w:t>
        <w:br/>
        <w:t xml:space="preserve">   [FLOW: samp_workflow.png]</w:t>
        <w:br/>
      </w:r>
    </w:p>
    <w:p>
      <w:r>
        <w:br/>
        <w:t>Key Highlights</w:t>
        <w:br/>
        <w:t>------------------------------------------------------------</w:t>
        <w:br/>
        <w:t>Category                | Observation</w:t>
        <w:br/>
        <w:t>------------------------------------------------------------</w:t>
        <w:br/>
        <w:t xml:space="preserve">Sampling Frequency      | Distribution mains dominate quarterly </w:t>
        <w:br/>
        <w:t xml:space="preserve">                        | and monthly schedules.</w:t>
        <w:br/>
        <w:br/>
        <w:t xml:space="preserve">Sampling Points         | Direct supply has the highest count </w:t>
        <w:br/>
        <w:t xml:space="preserve">                        | (~310 points).</w:t>
        <w:br/>
        <w:br/>
        <w:t xml:space="preserve">Parameter Classes       | Radiological Quality accounts for </w:t>
        <w:br/>
        <w:t xml:space="preserve">                        | majority of tests (&gt;900,000 codes).</w:t>
        <w:br/>
        <w:br/>
        <w:t xml:space="preserve">RL Distribution         | Most results clustered ≤ 1.0 mg/L with </w:t>
        <w:br/>
        <w:t xml:space="preserve">                        | secondary peaks at 5, 9, 12 mg/L bins.</w:t>
        <w:br/>
      </w:r>
    </w:p>
    <w:p>
      <w:r>
        <w:br/>
        <w:t>Predefined Q&amp;A Knowledge Base (QA_BANK)</w:t>
        <w:br/>
        <w:t>------------------------------------------------------------</w:t>
        <w:br/>
        <w:t>1. pH Trend (6 months)</w:t>
        <w:br/>
        <w:t xml:space="preserve">   - Stability observed across reservoirs (6.5–8.5 guideline). </w:t>
        <w:br/>
        <w:t xml:space="preserve">   - Notable rise in Marina due to algal bloom.</w:t>
        <w:br/>
        <w:t xml:space="preserve">   Follow-ups: Why was pH high in June–July? Show MacRitchie vs Bedok trend.</w:t>
        <w:br/>
        <w:br/>
        <w:t>2. Chlorine Residuals (last quarter)</w:t>
        <w:br/>
        <w:t xml:space="preserve">   - Avg. 0.45 mg/L with controlled peak at 0.55 mg/L (maintenance). </w:t>
        <w:br/>
        <w:t xml:space="preserve">   - No microbiological impact observed.</w:t>
        <w:br/>
        <w:t xml:space="preserve">   Follow-ups: Why spike in June? Weekly breakdown? Alert if &gt;0.6 mg/L.</w:t>
        <w:br/>
        <w:br/>
        <w:t>3. Turbidity (Plant A)</w:t>
        <w:br/>
        <w:t xml:space="preserve">   - Improved from 0.30 NTU (Apr) → 0.18 NTU (Jul). </w:t>
        <w:br/>
        <w:t xml:space="preserve">   - Filter optimisation and headloss-based triggers effective.</w:t>
        <w:br/>
        <w:t xml:space="preserve">   Follow-ups: Why higher in Apr? Show daily data. Compare Plant A vs B.</w:t>
        <w:br/>
        <w:br/>
        <w:t>4. Lead &amp; Copper (yearly)</w:t>
        <w:br/>
        <w:t xml:space="preserve">   - Lead stable (0.002–0.004 mg/L), Copper stable (0.10–0.14 mg/L). </w:t>
        <w:br/>
        <w:t xml:space="preserve">   - QC via ICP-MS and ICP-OES.</w:t>
        <w:br/>
        <w:t xml:space="preserve">   Follow-ups: Why higher Cu in Aug? Monthly comparison? Alert for exceedances.</w:t>
        <w:br/>
        <w:br/>
        <w:t>5. Coliforms (West region)</w:t>
        <w:br/>
        <w:t xml:space="preserve">   - One isolated hit in May (1 CFU/100 mL); flushed and resolved. </w:t>
        <w:br/>
        <w:t xml:space="preserve">   - No systemic issues.</w:t>
        <w:br/>
        <w:t xml:space="preserve">   Follow-ups: Why detected in May? Incident timeline? Regional comparison.</w:t>
        <w:br/>
        <w:br/>
        <w:t>6. Root Cause – High pH (Marina)</w:t>
        <w:br/>
        <w:t xml:space="preserve">   - Driven by algal bloom, low inflow, high DO during midday. </w:t>
        <w:br/>
        <w:t xml:space="preserve">   - Actions: Aeration curtains, PAC dosing.</w:t>
        <w:br/>
        <w:t xml:space="preserve">   Follow-ups: Show pH vs DO overlay. List bloom days. Chlorophyll-a levels.</w:t>
        <w:br/>
        <w:br/>
        <w:t>7. Ad-hoc Samples (Bedok, 3 months)</w:t>
        <w:br/>
        <w:t xml:space="preserve">   - Total: 45 bottles. Triggered by rainfall &amp; maintenance. </w:t>
        <w:br/>
        <w:t xml:space="preserve">   - Parameters: Metals, Turbidity, Microbiology.</w:t>
        <w:br/>
        <w:t xml:space="preserve">   Follow-ups: Breakdown by parameter. Turbidity vs TSS after storm. Micro positives?</w:t>
        <w:br/>
        <w:br/>
        <w:t>8. Turnaround Time (RW Inlet)</w:t>
        <w:br/>
        <w:t xml:space="preserve">   - Microbiology: 3–4 days. Physico-chemical: 2–3 days. </w:t>
        <w:br/>
        <w:t xml:space="preserve">   - Metals: 5–7 days. Organics: 5–10 days.</w:t>
        <w:br/>
        <w:t xml:space="preserve">   Follow-ups: Expedite with TAT-PRIORITY. Show pending QA. What causes delays?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