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Maura applies an assimilative, relational approach in her work with adults, teenagers,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children, and parents. She has received advanced training in Relational Gestalt Therapy,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Child &amp; Adolescent Psychotherapy and in Expressive Creative Arts Therapy. She has also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completed advanced training in Systemic Family Therapy and Couples Therapy, additional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training in Play Therapy and Dreamwork.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Maura’s work is grounded in psychodynamic and humanistic schools. She believes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ethically sound practice; is in regular supervision with senior consultants; and is dedicated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ongoing training. She also provides counselling and supervision to other mental health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professionals.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Maura is committed to helping clients understand themselves better by thinking and feeling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their way through origins and patterns of the life forces that animate their lives and may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have led to internal, relational, professional, academic or family struggles.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Together with the client she endeavors to make a safe space that allows the person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grow into their wholeness and their integrity, which in turn develops capacity for authentic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relationships with others.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being an entrepreneur Maura stepped into the world of counselling after receiving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extensive training and has been working in the field of counselling and therapy since 2016.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She is able to traverse cultures, because of her immersion into a multi-cultural life, this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offers her a unique perspective to work with a diverse clientele.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Maura believes in an integrative practice; she believes that human growth is in a constant dynamic process.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She offers personal coaching and relationship/couple coaching in English and German language.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Maura can be contacted at maurachari@gmail.com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