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9A227"/>
          <w:sz w:val="56"/>
        </w:rPr>
        <w:t>BitWealth (Pty) Ltd</w:t>
      </w:r>
    </w:p>
    <w:p>
      <w:pPr>
        <w:jc w:val="center"/>
      </w:pPr>
      <w:r>
        <w:rPr>
          <w:color w:val="1A1A1A"/>
          <w:sz w:val="32"/>
        </w:rPr>
        <w:t>Partnership &amp; Equity Structure — Proposal Framework</w:t>
      </w:r>
    </w:p>
    <w:p>
      <w:pPr>
        <w:jc w:val="center"/>
      </w:pPr>
      <w:r>
        <w:rPr>
          <w:i/>
          <w:color w:val="555555"/>
          <w:sz w:val="20"/>
        </w:rPr>
        <w:t>Prepared for discussion with the CEO of RocketX</w:t>
        <w:br/>
        <w:t>April 2026  |  Discussion Document — Subject to Negotiation</w:t>
      </w:r>
    </w:p>
    <w:p/>
    <w:p>
      <w:pPr>
        <w:pStyle w:val="Heading1"/>
      </w:pPr>
      <w:r>
        <w:rPr>
          <w:rFonts w:ascii="Calibri" w:hAnsi="Calibri"/>
          <w:color w:val="C9A227"/>
        </w:rPr>
        <w:t>1. Purpose of This Document</w:t>
      </w:r>
    </w:p>
    <w:p>
      <w:r>
        <w:rPr>
          <w:b w:val="0"/>
          <w:i w:val="0"/>
          <w:color w:val="1A1A1A"/>
          <w:sz w:val="22"/>
        </w:rPr>
        <w:t>This document sets out a proposed two-phase structure for a partnership between BitWealth (Pty) Ltd, RocketX, and Simon [Surname]. The structure is designed to enable BitWealth to go to market immediately under RocketX's regulatory cover, while creating a clear path toward a permanent equity arrangement that aligns the long-term interests of all parties.</w:t>
      </w:r>
    </w:p>
    <w:p>
      <w:r>
        <w:rPr>
          <w:b w:val="0"/>
          <w:i/>
          <w:color w:val="555555"/>
          <w:sz w:val="22"/>
        </w:rPr>
        <w:t>All numbers, percentages, and terms in this document are starting positions for discussion. Final terms will be negotiated and documented in formal agreements drafted by attorneys.</w:t>
      </w:r>
    </w:p>
    <w:p>
      <w:pPr>
        <w:pStyle w:val="Heading1"/>
      </w:pPr>
      <w:r>
        <w:rPr>
          <w:rFonts w:ascii="Calibri" w:hAnsi="Calibri"/>
          <w:color w:val="C9A227"/>
        </w:rPr>
        <w:t>2. Parties and Contributions</w:t>
      </w:r>
    </w:p>
    <w:p>
      <w:r>
        <w:rPr>
          <w:b w:val="0"/>
          <w:i w:val="0"/>
          <w:color w:val="1A1A1A"/>
          <w:sz w:val="22"/>
        </w:rPr>
        <w:t>Each party brings a distinct and complementary contribution. Recognising the relative weight of each contribution is the foundation for the equity discussion.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shd w:val="clear" w:color="auto" w:fill="F5EBC8"/>
          </w:tcPr>
          <w:p>
            <w:r/>
            <w:r>
              <w:rPr>
                <w:b/>
                <w:sz w:val="20"/>
              </w:rPr>
              <w:t>Party</w:t>
            </w:r>
          </w:p>
        </w:tc>
        <w:tc>
          <w:tcPr>
            <w:tcW w:type="dxa" w:w="4252"/>
            <w:shd w:val="clear" w:color="auto" w:fill="F5EBC8"/>
          </w:tcPr>
          <w:p>
            <w:r/>
            <w:r>
              <w:rPr>
                <w:b/>
                <w:sz w:val="20"/>
              </w:rPr>
              <w:t>Primary Contribution</w:t>
            </w:r>
          </w:p>
        </w:tc>
        <w:tc>
          <w:tcPr>
            <w:tcW w:type="dxa" w:w="2551"/>
            <w:shd w:val="clear" w:color="auto" w:fill="F5EBC8"/>
          </w:tcPr>
          <w:p>
            <w:r/>
            <w:r>
              <w:rPr>
                <w:b/>
                <w:sz w:val="20"/>
              </w:rPr>
              <w:t>Nature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Founder ([Your Name])</w:t>
            </w:r>
          </w:p>
        </w:tc>
        <w:tc>
          <w:tcPr>
            <w:tcW w:type="dxa" w:w="4252"/>
          </w:tcPr>
          <w:p>
            <w:r/>
            <w:r>
              <w:rPr>
                <w:sz w:val="20"/>
              </w:rPr>
              <w:t>IP, technology, product, founding effort, ongoing CEO role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Sweat equity + existing IP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RocketX (or CEO personally)</w:t>
            </w:r>
          </w:p>
        </w:tc>
        <w:tc>
          <w:tcPr>
            <w:tcW w:type="dxa" w:w="4252"/>
          </w:tcPr>
          <w:p>
            <w:r/>
            <w:r>
              <w:rPr>
                <w:sz w:val="20"/>
              </w:rPr>
              <w:t>FSP &amp; CASP licence, regulatory &amp; compliance infrastructure, industry credibility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Regulatory access + governance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Simon [Surname]</w:t>
            </w:r>
          </w:p>
        </w:tc>
        <w:tc>
          <w:tcPr>
            <w:tcW w:type="dxa" w:w="4252"/>
          </w:tcPr>
          <w:p>
            <w:r/>
            <w:r>
              <w:rPr>
                <w:sz w:val="20"/>
              </w:rPr>
              <w:t>Distribution network, client acquisition, capital injection (TBC), full-time operating role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Capital + sweat equity + sales</w:t>
            </w:r>
          </w:p>
        </w:tc>
      </w:tr>
    </w:tbl>
    <w:p>
      <w:pPr>
        <w:pStyle w:val="Heading1"/>
      </w:pPr>
      <w:r>
        <w:rPr>
          <w:rFonts w:ascii="Calibri" w:hAnsi="Calibri"/>
          <w:color w:val="C9A227"/>
        </w:rPr>
        <w:t>3. Phase 1 — Joint Representative (JR) Arrangement</w:t>
      </w:r>
    </w:p>
    <w:p>
      <w:r>
        <w:rPr>
          <w:b w:val="0"/>
          <w:i w:val="0"/>
          <w:color w:val="1A1A1A"/>
          <w:sz w:val="22"/>
        </w:rPr>
        <w:t>The JR arrangement is the bridge that allows BitWealth to begin onboarding clients legally while equity negotiations are concluded in parallel. This phase is intended to last 3 to 6 months.</w:t>
      </w:r>
    </w:p>
    <w:p>
      <w:pPr>
        <w:pStyle w:val="Heading2"/>
      </w:pPr>
      <w:r>
        <w:rPr>
          <w:rFonts w:ascii="Calibri" w:hAnsi="Calibri"/>
          <w:color w:val="C9A227"/>
        </w:rPr>
        <w:t>3.1 Proposed JR Terms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F5EBC8"/>
          </w:tcPr>
          <w:p>
            <w:r/>
            <w:r>
              <w:rPr>
                <w:b/>
                <w:sz w:val="20"/>
              </w:rPr>
              <w:t>Term</w:t>
            </w:r>
          </w:p>
        </w:tc>
        <w:tc>
          <w:tcPr>
            <w:tcW w:type="dxa" w:w="6520"/>
            <w:shd w:val="clear" w:color="auto" w:fill="F5EBC8"/>
          </w:tcPr>
          <w:p>
            <w:r/>
            <w:r>
              <w:rPr>
                <w:b/>
                <w:sz w:val="20"/>
              </w:rPr>
              <w:t>Proposed Position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Effective date</w:t>
            </w:r>
          </w:p>
        </w:tc>
        <w:tc>
          <w:tcPr>
            <w:tcW w:type="dxa" w:w="6520"/>
          </w:tcPr>
          <w:p>
            <w:r/>
            <w:r>
              <w:rPr>
                <w:sz w:val="20"/>
              </w:rPr>
              <w:t>Upon RocketX CASP licence finalisation (~mid-May 2026)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Duration</w:t>
            </w:r>
          </w:p>
        </w:tc>
        <w:tc>
          <w:tcPr>
            <w:tcW w:type="dxa" w:w="6520"/>
          </w:tcPr>
          <w:p>
            <w:r/>
            <w:r>
              <w:rPr>
                <w:sz w:val="20"/>
              </w:rPr>
              <w:t>3 to 6 months, automatically converting to the equity structure once the SHA is signed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Revenue share to RocketX</w:t>
            </w:r>
          </w:p>
        </w:tc>
        <w:tc>
          <w:tcPr>
            <w:tcW w:type="dxa" w:w="6520"/>
          </w:tcPr>
          <w:p>
            <w:r/>
            <w:r>
              <w:rPr>
                <w:sz w:val="20"/>
              </w:rPr>
              <w:t>30% of gross revenue (performance fees + platform fees)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Compliance services included</w:t>
            </w:r>
          </w:p>
        </w:tc>
        <w:tc>
          <w:tcPr>
            <w:tcW w:type="dxa" w:w="6520"/>
          </w:tcPr>
          <w:p>
            <w:r/>
            <w:r>
              <w:rPr>
                <w:sz w:val="20"/>
              </w:rPr>
              <w:t>Yes — full compliance administration, KI supervision, regulatory reporting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BitWealth client ownership</w:t>
            </w:r>
          </w:p>
        </w:tc>
        <w:tc>
          <w:tcPr>
            <w:tcW w:type="dxa" w:w="6520"/>
          </w:tcPr>
          <w:p>
            <w:r/>
            <w:r>
              <w:rPr>
                <w:sz w:val="20"/>
              </w:rPr>
              <w:t>BitWealth retains all client relationships and data; clients sign mandates with BitWealth as the appointed Representative of RocketX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Termination</w:t>
            </w:r>
          </w:p>
        </w:tc>
        <w:tc>
          <w:tcPr>
            <w:tcW w:type="dxa" w:w="6520"/>
          </w:tcPr>
          <w:p>
            <w:r/>
            <w:r>
              <w:rPr>
                <w:sz w:val="20"/>
              </w:rPr>
              <w:t>Either party may terminate on 60 days' notice; BitWealth retains client portability subject to clients' consent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Credit toward equity</w:t>
            </w:r>
          </w:p>
        </w:tc>
        <w:tc>
          <w:tcPr>
            <w:tcW w:type="dxa" w:w="6520"/>
          </w:tcPr>
          <w:p>
            <w:r/>
            <w:r>
              <w:rPr>
                <w:sz w:val="20"/>
              </w:rPr>
              <w:t>JR fees paid during this phase to be credited (in part or in full) against RocketX's equity subscription price — to be negotiated</w:t>
            </w:r>
          </w:p>
        </w:tc>
      </w:tr>
    </w:tbl>
    <w:p>
      <w:pPr>
        <w:pStyle w:val="Heading2"/>
      </w:pPr>
      <w:r>
        <w:rPr>
          <w:rFonts w:ascii="Calibri" w:hAnsi="Calibri"/>
          <w:color w:val="C9A227"/>
        </w:rPr>
        <w:t>3.2 Why 30%?</w:t>
      </w:r>
    </w:p>
    <w:p>
      <w:r>
        <w:rPr>
          <w:b w:val="0"/>
          <w:i w:val="0"/>
          <w:color w:val="1A1A1A"/>
          <w:sz w:val="22"/>
        </w:rPr>
        <w:t>Industry-typical JR/sub-FSP arrangements in South Africa range from 20% to 40% of gross revenue. 30% sits in the middle and reflects the value of a fully outsourced compliance function plus the regulatory licence itself. A lower percentage may be defensible if BitWealth handles its own compliance operations (e.g. record keeping, FICA), with RocketX providing only the licence umbrella and KI oversight.</w:t>
      </w:r>
    </w:p>
    <w:p>
      <w:pPr>
        <w:pStyle w:val="Heading1"/>
      </w:pPr>
      <w:r>
        <w:rPr>
          <w:rFonts w:ascii="Calibri" w:hAnsi="Calibri"/>
          <w:color w:val="C9A227"/>
        </w:rPr>
        <w:t>4. Phase 2 — Permanent Equity Structure</w:t>
      </w:r>
    </w:p>
    <w:p>
      <w:r>
        <w:rPr>
          <w:b w:val="0"/>
          <w:i w:val="0"/>
          <w:color w:val="1A1A1A"/>
          <w:sz w:val="22"/>
        </w:rPr>
        <w:t>Once equity terms are agreed, the JR fee converts into shareholder economics. BitWealth becomes a jointly-owned operating company. Three illustrative options are set out below.</w:t>
      </w:r>
    </w:p>
    <w:p>
      <w:pPr>
        <w:pStyle w:val="Heading2"/>
      </w:pPr>
      <w:r>
        <w:rPr>
          <w:rFonts w:ascii="Calibri" w:hAnsi="Calibri"/>
          <w:color w:val="C9A227"/>
        </w:rPr>
        <w:t>4.1 Founder Non-Negotiables</w:t>
      </w:r>
    </w:p>
    <w:p>
      <w:pPr>
        <w:pStyle w:val="ListBullet"/>
      </w:pPr>
      <w:r>
        <w:t>Founder retains a controlling stake (&gt;50%) for the foreseeable future</w:t>
      </w:r>
    </w:p>
    <w:p>
      <w:pPr>
        <w:pStyle w:val="ListBullet"/>
      </w:pPr>
      <w:r>
        <w:t>Right of First Refusal (ROFR) on any share sale or transfer by any shareholder</w:t>
      </w:r>
    </w:p>
    <w:p>
      <w:pPr>
        <w:pStyle w:val="ListBullet"/>
      </w:pPr>
      <w:r>
        <w:t>All IP currently held personally by the Founder to be formally assigned to BitWealth (Pty) Ltd before any equity is issued — this protects all parties</w:t>
      </w:r>
    </w:p>
    <w:p>
      <w:pPr>
        <w:pStyle w:val="ListBullet"/>
      </w:pPr>
      <w:r>
        <w:t>Vesting on all new shareholder equity (minimum 3-year vesting with a 1-year cliff)</w:t>
      </w:r>
    </w:p>
    <w:p>
      <w:pPr>
        <w:pStyle w:val="ListBullet"/>
      </w:pPr>
      <w:r>
        <w:t>Reverse vesting: if Simon or RocketX exit before Year 3, unvested shares are forfeited</w:t>
      </w:r>
    </w:p>
    <w:p>
      <w:pPr>
        <w:pStyle w:val="Heading2"/>
      </w:pPr>
      <w:r>
        <w:rPr>
          <w:rFonts w:ascii="Calibri" w:hAnsi="Calibri"/>
          <w:color w:val="C9A227"/>
        </w:rPr>
        <w:t>4.2 Three Equity Options for Discussion</w:t>
      </w:r>
    </w:p>
    <w:p>
      <w:r>
        <w:rPr>
          <w:b/>
          <w:color w:val="C9A227"/>
          <w:sz w:val="26"/>
        </w:rPr>
        <w:t>Option A — Founder-Led (Conservative)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shd w:val="clear" w:color="auto" w:fill="F5EBC8"/>
          </w:tcPr>
          <w:p>
            <w:r/>
            <w:r>
              <w:rPr>
                <w:b/>
                <w:sz w:val="20"/>
              </w:rPr>
              <w:t>Shareholder</w:t>
            </w:r>
          </w:p>
        </w:tc>
        <w:tc>
          <w:tcPr>
            <w:tcW w:type="dxa" w:w="1701"/>
            <w:shd w:val="clear" w:color="auto" w:fill="F5EBC8"/>
          </w:tcPr>
          <w:p>
            <w:r/>
            <w:r>
              <w:rPr>
                <w:b/>
                <w:sz w:val="20"/>
              </w:rPr>
              <w:t>% Equity</w:t>
            </w:r>
          </w:p>
        </w:tc>
        <w:tc>
          <w:tcPr>
            <w:tcW w:type="dxa" w:w="5102"/>
            <w:shd w:val="clear" w:color="auto" w:fill="F5EBC8"/>
          </w:tcPr>
          <w:p>
            <w:r/>
            <w:r>
              <w:rPr>
                <w:b/>
                <w:sz w:val="20"/>
              </w:rPr>
              <w:t>Rationale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Founder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65%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Reflects existing IP, 1,000+ hours of build, ongoing CEO role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Simon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20%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Distribution + capital + full-time operations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RocketX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15%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Licence umbrella; lower % because Founder retains operational control and IP</w:t>
            </w:r>
          </w:p>
        </w:tc>
      </w:tr>
    </w:tbl>
    <w:p>
      <w:r>
        <w:rPr>
          <w:b w:val="0"/>
          <w:i/>
          <w:color w:val="555555"/>
          <w:sz w:val="22"/>
        </w:rPr>
        <w:t>Best if: RocketX's role is limited to licence + compliance, with no material capital injection. JR-style economics persist (revenue share) but at a reduced rate of ~10% on top of the equity.</w:t>
      </w:r>
    </w:p>
    <w:p/>
    <w:p>
      <w:r>
        <w:rPr>
          <w:b/>
          <w:color w:val="C9A227"/>
          <w:sz w:val="26"/>
        </w:rPr>
        <w:t>Option B — Balanced Three-Way Partnership (Recommended Starting Point)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shd w:val="clear" w:color="auto" w:fill="F5EBC8"/>
          </w:tcPr>
          <w:p>
            <w:r/>
            <w:r>
              <w:rPr>
                <w:b/>
                <w:sz w:val="20"/>
              </w:rPr>
              <w:t>Shareholder</w:t>
            </w:r>
          </w:p>
        </w:tc>
        <w:tc>
          <w:tcPr>
            <w:tcW w:type="dxa" w:w="1701"/>
            <w:shd w:val="clear" w:color="auto" w:fill="F5EBC8"/>
          </w:tcPr>
          <w:p>
            <w:r/>
            <w:r>
              <w:rPr>
                <w:b/>
                <w:sz w:val="20"/>
              </w:rPr>
              <w:t>% Equity</w:t>
            </w:r>
          </w:p>
        </w:tc>
        <w:tc>
          <w:tcPr>
            <w:tcW w:type="dxa" w:w="5102"/>
            <w:shd w:val="clear" w:color="auto" w:fill="F5EBC8"/>
          </w:tcPr>
          <w:p>
            <w:r/>
            <w:r>
              <w:rPr>
                <w:b/>
                <w:sz w:val="20"/>
              </w:rPr>
              <w:t>Rationale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Founder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55%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Retains control; existing IP and ongoing CEO role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Simon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25%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Distribution + capital + full-time operations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RocketX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20%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Licence umbrella + active regulatory/governance involvement</w:t>
            </w:r>
          </w:p>
        </w:tc>
      </w:tr>
    </w:tbl>
    <w:p>
      <w:r>
        <w:rPr>
          <w:b w:val="0"/>
          <w:i/>
          <w:color w:val="555555"/>
          <w:sz w:val="22"/>
        </w:rPr>
        <w:t>Best if: All three parties are actively engaged. RocketX takes a board seat and provides strategic regulatory guidance beyond pure licence cover. Simon commits both capital and full-time effort. JR revenue share falls away entirely.</w:t>
      </w:r>
    </w:p>
    <w:p/>
    <w:p>
      <w:r>
        <w:rPr>
          <w:b/>
          <w:color w:val="C9A227"/>
          <w:sz w:val="26"/>
        </w:rPr>
        <w:t>Option C — Capital-Weighted (If RocketX Invests)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shd w:val="clear" w:color="auto" w:fill="F5EBC8"/>
          </w:tcPr>
          <w:p>
            <w:r/>
            <w:r>
              <w:rPr>
                <w:b/>
                <w:sz w:val="20"/>
              </w:rPr>
              <w:t>Shareholder</w:t>
            </w:r>
          </w:p>
        </w:tc>
        <w:tc>
          <w:tcPr>
            <w:tcW w:type="dxa" w:w="1701"/>
            <w:shd w:val="clear" w:color="auto" w:fill="F5EBC8"/>
          </w:tcPr>
          <w:p>
            <w:r/>
            <w:r>
              <w:rPr>
                <w:b/>
                <w:sz w:val="20"/>
              </w:rPr>
              <w:t>% Equity</w:t>
            </w:r>
          </w:p>
        </w:tc>
        <w:tc>
          <w:tcPr>
            <w:tcW w:type="dxa" w:w="5102"/>
            <w:shd w:val="clear" w:color="auto" w:fill="F5EBC8"/>
          </w:tcPr>
          <w:p>
            <w:r/>
            <w:r>
              <w:rPr>
                <w:b/>
                <w:sz w:val="20"/>
              </w:rPr>
              <w:t>Rationale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Founder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51%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Retains bare control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Simon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24%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Distribution + capital + full-time operations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RocketX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25%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Licence + regulatory + material capital injection (e.g. R[X]m at the agreed pre-money valuation)</w:t>
            </w:r>
          </w:p>
        </w:tc>
      </w:tr>
    </w:tbl>
    <w:p>
      <w:r>
        <w:rPr>
          <w:b w:val="0"/>
          <w:i/>
          <w:color w:val="555555"/>
          <w:sz w:val="22"/>
        </w:rPr>
        <w:t>Best if: RocketX commits real capital alongside the licence — for example to fund marketing, engineering, or operating runway. Equity tracks total economic contribution.</w:t>
      </w:r>
    </w:p>
    <w:p>
      <w:pPr>
        <w:pStyle w:val="Heading1"/>
      </w:pPr>
      <w:r>
        <w:rPr>
          <w:rFonts w:ascii="Calibri" w:hAnsi="Calibri"/>
          <w:color w:val="C9A227"/>
        </w:rPr>
        <w:t>5. Valuation Framework</w:t>
      </w:r>
    </w:p>
    <w:p>
      <w:r>
        <w:rPr>
          <w:b w:val="0"/>
          <w:i w:val="0"/>
          <w:color w:val="1A1A1A"/>
          <w:sz w:val="22"/>
        </w:rPr>
        <w:t>Three independent methods are presented below. The defensible position is the average (or highest) of the three, depending on negotiating context. As a pre-revenue start-up, valuation is inherently subjective — the goal is to anchor the discussion with credible benchmarks rather than arbitrary numbers.</w:t>
      </w:r>
    </w:p>
    <w:p>
      <w:pPr>
        <w:pStyle w:val="Heading2"/>
      </w:pPr>
      <w:r>
        <w:rPr>
          <w:rFonts w:ascii="Calibri" w:hAnsi="Calibri"/>
          <w:color w:val="C9A227"/>
        </w:rPr>
        <w:t>5.1 Method 1 — Cost-to-Replicate (Sweat Equity)</w:t>
      </w:r>
    </w:p>
    <w:p>
      <w:r>
        <w:rPr>
          <w:b w:val="0"/>
          <w:i w:val="0"/>
          <w:color w:val="1A1A1A"/>
          <w:sz w:val="22"/>
        </w:rPr>
        <w:t>What would it cost a third party to build what you have built?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102"/>
            <w:shd w:val="clear" w:color="auto" w:fill="F5EBC8"/>
          </w:tcPr>
          <w:p>
            <w:r/>
            <w:r>
              <w:rPr>
                <w:b/>
                <w:sz w:val="20"/>
              </w:rPr>
              <w:t>Input</w:t>
            </w:r>
          </w:p>
        </w:tc>
        <w:tc>
          <w:tcPr>
            <w:tcW w:type="dxa" w:w="4252"/>
            <w:shd w:val="clear" w:color="auto" w:fill="F5EBC8"/>
          </w:tcPr>
          <w:p>
            <w:r/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20"/>
              </w:rPr>
              <w:t>Founder development hours</w:t>
            </w:r>
          </w:p>
        </w:tc>
        <w:tc>
          <w:tcPr>
            <w:tcW w:type="dxa" w:w="4252"/>
          </w:tcPr>
          <w:p>
            <w:r/>
            <w:r>
              <w:rPr>
                <w:sz w:val="20"/>
              </w:rPr>
              <w:t>1,000+ hours over 7 months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20"/>
              </w:rPr>
              <w:t>Reasonable senior-developer rate (SA, fintech)</w:t>
            </w:r>
          </w:p>
        </w:tc>
        <w:tc>
          <w:tcPr>
            <w:tcW w:type="dxa" w:w="4252"/>
          </w:tcPr>
          <w:p>
            <w:r/>
            <w:r>
              <w:rPr>
                <w:sz w:val="20"/>
              </w:rPr>
              <w:t>R 700/hour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20"/>
              </w:rPr>
              <w:t>Sweat equity value</w:t>
            </w:r>
          </w:p>
        </w:tc>
        <w:tc>
          <w:tcPr>
            <w:tcW w:type="dxa" w:w="4252"/>
          </w:tcPr>
          <w:p>
            <w:r/>
            <w:r>
              <w:rPr>
                <w:sz w:val="20"/>
              </w:rPr>
              <w:t>R 700,000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20"/>
              </w:rPr>
              <w:t>Cash invested in infrastructure</w:t>
            </w:r>
          </w:p>
        </w:tc>
        <w:tc>
          <w:tcPr>
            <w:tcW w:type="dxa" w:w="4252"/>
          </w:tcPr>
          <w:p>
            <w:r/>
            <w:r>
              <w:rPr>
                <w:sz w:val="20"/>
              </w:rPr>
              <w:t>R 15,000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20"/>
              </w:rPr>
              <w:t>Strategy IP premium (proprietary signal logic, backtested)</w:t>
            </w:r>
          </w:p>
        </w:tc>
        <w:tc>
          <w:tcPr>
            <w:tcW w:type="dxa" w:w="4252"/>
          </w:tcPr>
          <w:p>
            <w:r/>
            <w:r>
              <w:rPr>
                <w:sz w:val="20"/>
              </w:rPr>
              <w:t>R 200,000 – R 500,000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20"/>
              </w:rPr>
              <w:t>Total (range)</w:t>
            </w:r>
          </w:p>
        </w:tc>
        <w:tc>
          <w:tcPr>
            <w:tcW w:type="dxa" w:w="4252"/>
          </w:tcPr>
          <w:p>
            <w:r/>
            <w:r>
              <w:rPr>
                <w:sz w:val="20"/>
              </w:rPr>
              <w:t>R 915,000 – R 1,215,000</w:t>
            </w:r>
          </w:p>
        </w:tc>
      </w:tr>
    </w:tbl>
    <w:p>
      <w:pPr>
        <w:pStyle w:val="Heading2"/>
      </w:pPr>
      <w:r>
        <w:rPr>
          <w:rFonts w:ascii="Calibri" w:hAnsi="Calibri"/>
          <w:color w:val="C9A227"/>
        </w:rPr>
        <w:t>5.2 Method 2 — Discounted Future Revenue (Bottom-Up)</w:t>
      </w:r>
    </w:p>
    <w:p>
      <w:r>
        <w:rPr>
          <w:b w:val="0"/>
          <w:i w:val="0"/>
          <w:color w:val="1A1A1A"/>
          <w:sz w:val="22"/>
        </w:rPr>
        <w:t>What is the business worth based on near-term realistic revenue?</w:t>
      </w:r>
    </w:p>
    <w:p>
      <w:r>
        <w:rPr>
          <w:b/>
          <w:i w:val="0"/>
          <w:color w:val="1A1A1A"/>
          <w:sz w:val="22"/>
        </w:rPr>
        <w:t>Year 1 base case (Simon's network only):</w:t>
      </w:r>
    </w:p>
    <w:p>
      <w:pPr>
        <w:pStyle w:val="ListBullet"/>
      </w:pPr>
      <w:r>
        <w:t>20 clients × R 100,000 average AUM = R 2,000,000 AUM</w:t>
      </w:r>
    </w:p>
    <w:p>
      <w:pPr>
        <w:pStyle w:val="ListBullet"/>
      </w:pPr>
      <w:r>
        <w:t>Assumed strategy net return: 25% pa (conservative vs backtest)</w:t>
      </w:r>
    </w:p>
    <w:p>
      <w:pPr>
        <w:pStyle w:val="ListBullet"/>
      </w:pPr>
      <w:r>
        <w:t>Client profit pool: R 500,000</w:t>
      </w:r>
    </w:p>
    <w:p>
      <w:pPr>
        <w:pStyle w:val="ListBullet"/>
      </w:pPr>
      <w:r>
        <w:t>Performance fee (10% of profit): R 50,000</w:t>
      </w:r>
    </w:p>
    <w:p>
      <w:pPr>
        <w:pStyle w:val="ListBullet"/>
      </w:pPr>
      <w:r>
        <w:t>Platform fee (0.75% on AUM): R 15,000</w:t>
      </w:r>
    </w:p>
    <w:p>
      <w:pPr>
        <w:pStyle w:val="ListBullet"/>
      </w:pPr>
      <w:r>
        <w:t>Total Year 1 revenue: ~R 65,000</w:t>
      </w:r>
    </w:p>
    <w:p>
      <w:r>
        <w:rPr>
          <w:b/>
          <w:i w:val="0"/>
          <w:color w:val="1A1A1A"/>
          <w:sz w:val="22"/>
        </w:rPr>
        <w:t>Year 3 projection (organic growth + Simon's network):</w:t>
      </w:r>
    </w:p>
    <w:p>
      <w:pPr>
        <w:pStyle w:val="ListBullet"/>
      </w:pPr>
      <w:r>
        <w:t>80–120 clients × R 150,000 average AUM = R 12m – R 18m AUM</w:t>
      </w:r>
    </w:p>
    <w:p>
      <w:pPr>
        <w:pStyle w:val="ListBullet"/>
      </w:pPr>
      <w:r>
        <w:t>Annual revenue at same fee structure: R 400,000 – R 600,000</w:t>
      </w:r>
    </w:p>
    <w:p>
      <w:r>
        <w:rPr>
          <w:b w:val="0"/>
          <w:i w:val="0"/>
          <w:color w:val="1A1A1A"/>
          <w:sz w:val="22"/>
        </w:rPr>
        <w:t>Applying a fintech revenue multiple of 4–6× Year 3 revenue (typical for early-stage SA fintech with regulatory cover):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shd w:val="clear" w:color="auto" w:fill="F5EBC8"/>
          </w:tcPr>
          <w:p>
            <w:r/>
            <w:r>
              <w:rPr>
                <w:b/>
                <w:sz w:val="20"/>
              </w:rPr>
              <w:t>Scenario</w:t>
            </w:r>
          </w:p>
        </w:tc>
        <w:tc>
          <w:tcPr>
            <w:tcW w:type="dxa" w:w="2268"/>
            <w:shd w:val="clear" w:color="auto" w:fill="F5EBC8"/>
          </w:tcPr>
          <w:p>
            <w:r/>
            <w:r>
              <w:rPr>
                <w:b/>
                <w:sz w:val="20"/>
              </w:rPr>
              <w:t>Year 3 Revenue</w:t>
            </w:r>
          </w:p>
        </w:tc>
        <w:tc>
          <w:tcPr>
            <w:tcW w:type="dxa" w:w="1701"/>
            <w:shd w:val="clear" w:color="auto" w:fill="F5EBC8"/>
          </w:tcPr>
          <w:p>
            <w:r/>
            <w:r>
              <w:rPr>
                <w:b/>
                <w:sz w:val="20"/>
              </w:rPr>
              <w:t>Multiple</w:t>
            </w:r>
          </w:p>
        </w:tc>
        <w:tc>
          <w:tcPr>
            <w:tcW w:type="dxa" w:w="3118"/>
            <w:shd w:val="clear" w:color="auto" w:fill="F5EBC8"/>
          </w:tcPr>
          <w:p>
            <w:r/>
            <w:r>
              <w:rPr>
                <w:b/>
                <w:sz w:val="20"/>
              </w:rPr>
              <w:t>Implied Valuation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Conservative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R 400,000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4×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R 1,600,000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Base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R 500,000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5×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R 2,500,000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Optimistic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R 600,000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6×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R 3,600,000</w:t>
            </w:r>
          </w:p>
        </w:tc>
      </w:tr>
    </w:tbl>
    <w:p>
      <w:pPr>
        <w:pStyle w:val="Heading2"/>
      </w:pPr>
      <w:r>
        <w:rPr>
          <w:rFonts w:ascii="Calibri" w:hAnsi="Calibri"/>
          <w:color w:val="C9A227"/>
        </w:rPr>
        <w:t>5.3 Method 3 — Berkus Method (Pre-Revenue Milestone)</w:t>
      </w:r>
    </w:p>
    <w:p>
      <w:r>
        <w:rPr>
          <w:b w:val="0"/>
          <w:i w:val="0"/>
          <w:color w:val="1A1A1A"/>
          <w:sz w:val="22"/>
        </w:rPr>
        <w:t>A standard pre-revenue valuation method that assigns up to R 500,000 per de-risking milestone: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969"/>
            <w:shd w:val="clear" w:color="auto" w:fill="F5EBC8"/>
          </w:tcPr>
          <w:p>
            <w:r/>
            <w:r>
              <w:rPr>
                <w:b/>
                <w:sz w:val="20"/>
              </w:rPr>
              <w:t>Milestone</w:t>
            </w:r>
          </w:p>
        </w:tc>
        <w:tc>
          <w:tcPr>
            <w:tcW w:type="dxa" w:w="3402"/>
            <w:shd w:val="clear" w:color="auto" w:fill="F5EBC8"/>
          </w:tcPr>
          <w:p>
            <w:r/>
            <w:r>
              <w:rPr>
                <w:b/>
                <w:sz w:val="20"/>
              </w:rPr>
              <w:t>Status</w:t>
            </w:r>
          </w:p>
        </w:tc>
        <w:tc>
          <w:tcPr>
            <w:tcW w:type="dxa" w:w="1984"/>
            <w:shd w:val="clear" w:color="auto" w:fill="F5EBC8"/>
          </w:tcPr>
          <w:p>
            <w:r/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Sound idea (basic value, product risk)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Achieved — validated by backtest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R 500,000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Prototype (technology risk reduced)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Achieved — full system live, 2 pilot users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R 500,000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Quality management team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Partial — Founder + KI; pending Simon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R 250,000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Strategic relationships (market risk)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Achieved on partnership signing — RocketX + Simon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R 500,000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Product rollout / sales (production risk)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Pending — pilot only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R 100,000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Total Berkus valuation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R 1,850,000</w:t>
            </w:r>
          </w:p>
        </w:tc>
      </w:tr>
    </w:tbl>
    <w:p>
      <w:pPr>
        <w:pStyle w:val="Heading2"/>
      </w:pPr>
      <w:r>
        <w:rPr>
          <w:rFonts w:ascii="Calibri" w:hAnsi="Calibri"/>
          <w:color w:val="C9A227"/>
        </w:rPr>
        <w:t>5.4 Recommended Valuation Range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102"/>
            <w:shd w:val="clear" w:color="auto" w:fill="F5EBC8"/>
          </w:tcPr>
          <w:p>
            <w:r/>
            <w:r>
              <w:rPr>
                <w:b/>
                <w:sz w:val="20"/>
              </w:rPr>
              <w:t>Method</w:t>
            </w:r>
          </w:p>
        </w:tc>
        <w:tc>
          <w:tcPr>
            <w:tcW w:type="dxa" w:w="4252"/>
            <w:shd w:val="clear" w:color="auto" w:fill="F5EBC8"/>
          </w:tcPr>
          <w:p>
            <w:r/>
            <w:r>
              <w:rPr>
                <w:b/>
                <w:sz w:val="20"/>
              </w:rPr>
              <w:t>Valuation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20"/>
              </w:rPr>
              <w:t>Cost-to-Replicate</w:t>
            </w:r>
          </w:p>
        </w:tc>
        <w:tc>
          <w:tcPr>
            <w:tcW w:type="dxa" w:w="4252"/>
          </w:tcPr>
          <w:p>
            <w:r/>
            <w:r>
              <w:rPr>
                <w:sz w:val="20"/>
              </w:rPr>
              <w:t>R 915k – R 1.2m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20"/>
              </w:rPr>
              <w:t>Discounted Future Revenue</w:t>
            </w:r>
          </w:p>
        </w:tc>
        <w:tc>
          <w:tcPr>
            <w:tcW w:type="dxa" w:w="4252"/>
          </w:tcPr>
          <w:p>
            <w:r/>
            <w:r>
              <w:rPr>
                <w:sz w:val="20"/>
              </w:rPr>
              <w:t>R 1.6m – R 3.6m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20"/>
              </w:rPr>
              <w:t>Berkus (Pre-Revenue)</w:t>
            </w:r>
          </w:p>
        </w:tc>
        <w:tc>
          <w:tcPr>
            <w:tcW w:type="dxa" w:w="4252"/>
          </w:tcPr>
          <w:p>
            <w:r/>
            <w:r>
              <w:rPr>
                <w:sz w:val="20"/>
              </w:rPr>
              <w:t>R 1.85m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20"/>
              </w:rPr>
              <w:t>Recommended pre-money valuation for discussion</w:t>
            </w:r>
          </w:p>
        </w:tc>
        <w:tc>
          <w:tcPr>
            <w:tcW w:type="dxa" w:w="4252"/>
          </w:tcPr>
          <w:p>
            <w:r/>
            <w:r>
              <w:rPr>
                <w:sz w:val="20"/>
              </w:rPr>
              <w:t>R 2.0m – R 2.5m</w:t>
            </w:r>
          </w:p>
        </w:tc>
      </w:tr>
    </w:tbl>
    <w:p>
      <w:r>
        <w:rPr>
          <w:b/>
          <w:i w:val="0"/>
          <w:color w:val="1A1A1A"/>
          <w:sz w:val="22"/>
        </w:rPr>
        <w:t>Anchor the negotiation at R 2.5m and accept anywhere down to R 1.8m. Anything below that undervalues the IP, the regulatory groundwork already done, and the operational platform.</w:t>
      </w:r>
    </w:p>
    <w:p>
      <w:pPr>
        <w:pStyle w:val="Heading1"/>
      </w:pPr>
      <w:r>
        <w:rPr>
          <w:rFonts w:ascii="Calibri" w:hAnsi="Calibri"/>
          <w:color w:val="C9A227"/>
        </w:rPr>
        <w:t>6. Questions to Ask the RocketX CEO</w:t>
      </w:r>
    </w:p>
    <w:p>
      <w:r>
        <w:rPr>
          <w:b w:val="0"/>
          <w:i w:val="0"/>
          <w:color w:val="1A1A1A"/>
          <w:sz w:val="22"/>
        </w:rPr>
        <w:t>Before the equity discussion can be finalised, the following questions should be answered.</w:t>
      </w:r>
    </w:p>
    <w:p>
      <w:pPr>
        <w:pStyle w:val="Heading2"/>
      </w:pPr>
      <w:r>
        <w:rPr>
          <w:rFonts w:ascii="Calibri" w:hAnsi="Calibri"/>
          <w:color w:val="C9A227"/>
        </w:rPr>
        <w:t>6.1 Capital and Investment</w:t>
      </w:r>
    </w:p>
    <w:p>
      <w:pPr>
        <w:pStyle w:val="ListBullet"/>
      </w:pPr>
      <w:r>
        <w:t>Will RocketX inject capital into BitWealth, or is the contribution purely the licence and compliance services?</w:t>
      </w:r>
    </w:p>
    <w:p>
      <w:pPr>
        <w:pStyle w:val="ListBullet"/>
      </w:pPr>
      <w:r>
        <w:t>If capital is on the table, what amount and on what terms (equity vs convertible loan vs revenue advance)?</w:t>
      </w:r>
    </w:p>
    <w:p>
      <w:pPr>
        <w:pStyle w:val="ListBullet"/>
      </w:pPr>
      <w:r>
        <w:t>Would RocketX be willing to fund the first 12 months of marketing and operating costs in exchange for additional equity?</w:t>
      </w:r>
    </w:p>
    <w:p>
      <w:pPr>
        <w:pStyle w:val="Heading2"/>
      </w:pPr>
      <w:r>
        <w:rPr>
          <w:rFonts w:ascii="Calibri" w:hAnsi="Calibri"/>
          <w:color w:val="C9A227"/>
        </w:rPr>
        <w:t>6.2 Entity Structure</w:t>
      </w:r>
    </w:p>
    <w:p>
      <w:pPr>
        <w:pStyle w:val="ListBullet"/>
      </w:pPr>
      <w:r>
        <w:t>Will RocketX (Pty) Ltd be the shareholder, or will the CEO take shares personally?</w:t>
      </w:r>
    </w:p>
    <w:p>
      <w:pPr>
        <w:pStyle w:val="ListBullet"/>
      </w:pPr>
      <w:r>
        <w:t>If corporate, are there existing shareholders/board members in RocketX who must approve this transaction?</w:t>
      </w:r>
    </w:p>
    <w:p>
      <w:pPr>
        <w:pStyle w:val="ListBullet"/>
      </w:pPr>
      <w:r>
        <w:t>Are there any restrictions in RocketX's existing FSP licence that would limit it from holding equity in another FSP applicant?</w:t>
      </w:r>
    </w:p>
    <w:p>
      <w:pPr>
        <w:pStyle w:val="Heading2"/>
      </w:pPr>
      <w:r>
        <w:rPr>
          <w:rFonts w:ascii="Calibri" w:hAnsi="Calibri"/>
          <w:color w:val="C9A227"/>
        </w:rPr>
        <w:t>6.3 Operational Role</w:t>
      </w:r>
    </w:p>
    <w:p>
      <w:pPr>
        <w:pStyle w:val="ListBullet"/>
      </w:pPr>
      <w:r>
        <w:t>Will RocketX want a board seat? Voting or observer?</w:t>
      </w:r>
    </w:p>
    <w:p>
      <w:pPr>
        <w:pStyle w:val="ListBullet"/>
      </w:pPr>
      <w:r>
        <w:t>Beyond the licence, what active role does the CEO see RocketX playing — strategic guidance, introductions, infrastructure sharing?</w:t>
      </w:r>
    </w:p>
    <w:p>
      <w:pPr>
        <w:pStyle w:val="ListBullet"/>
      </w:pPr>
      <w:r>
        <w:t>Will RocketX provide the Key Individual on a permanent basis, or only during the JR phase?</w:t>
      </w:r>
    </w:p>
    <w:p>
      <w:pPr>
        <w:pStyle w:val="Heading2"/>
      </w:pPr>
      <w:r>
        <w:rPr>
          <w:rFonts w:ascii="Calibri" w:hAnsi="Calibri"/>
          <w:color w:val="C9A227"/>
        </w:rPr>
        <w:t>6.4 JR-to-Equity Transition</w:t>
      </w:r>
    </w:p>
    <w:p>
      <w:pPr>
        <w:pStyle w:val="ListBullet"/>
      </w:pPr>
      <w:r>
        <w:t>Should the JR revenue share paid during Phase 1 be credited against RocketX's equity subscription price?</w:t>
      </w:r>
    </w:p>
    <w:p>
      <w:pPr>
        <w:pStyle w:val="ListBullet"/>
      </w:pPr>
      <w:r>
        <w:t>What is the trigger to move from Phase 1 to Phase 2 — date, AUM milestone, or licence approval?</w:t>
      </w:r>
    </w:p>
    <w:p>
      <w:pPr>
        <w:pStyle w:val="ListBullet"/>
      </w:pPr>
      <w:r>
        <w:t>Once in Phase 2, does the JR fee fall away entirely, or is there a residual licence-fee component?</w:t>
      </w:r>
    </w:p>
    <w:p>
      <w:pPr>
        <w:pStyle w:val="Heading2"/>
      </w:pPr>
      <w:r>
        <w:rPr>
          <w:rFonts w:ascii="Calibri" w:hAnsi="Calibri"/>
          <w:color w:val="C9A227"/>
        </w:rPr>
        <w:t>6.5 Exit and Protections</w:t>
      </w:r>
    </w:p>
    <w:p>
      <w:pPr>
        <w:pStyle w:val="ListBullet"/>
      </w:pPr>
      <w:r>
        <w:t>Will RocketX accept reverse vesting (i.e. equity vests over 3 years; unvested shares forfeited if RocketX exits early)?</w:t>
      </w:r>
    </w:p>
    <w:p>
      <w:pPr>
        <w:pStyle w:val="ListBullet"/>
      </w:pPr>
      <w:r>
        <w:t>Tag-along, drag-along, and ROFR clauses — acceptable in principle?</w:t>
      </w:r>
    </w:p>
    <w:p>
      <w:pPr>
        <w:pStyle w:val="ListBullet"/>
      </w:pPr>
      <w:r>
        <w:t>Founder veto rights on changes to strategy, capital structure, or sale of business — acceptable?</w:t>
      </w:r>
    </w:p>
    <w:p>
      <w:pPr>
        <w:pStyle w:val="Heading1"/>
      </w:pPr>
      <w:r>
        <w:rPr>
          <w:rFonts w:ascii="Calibri" w:hAnsi="Calibri"/>
          <w:color w:val="C9A227"/>
        </w:rPr>
        <w:t>7. Recommended Path Forward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567"/>
            <w:shd w:val="clear" w:color="auto" w:fill="F5EBC8"/>
          </w:tcPr>
          <w:p>
            <w:r/>
            <w:r>
              <w:rPr>
                <w:b/>
                <w:sz w:val="20"/>
              </w:rPr>
              <w:t>#</w:t>
            </w:r>
          </w:p>
        </w:tc>
        <w:tc>
          <w:tcPr>
            <w:tcW w:type="dxa" w:w="4535"/>
            <w:shd w:val="clear" w:color="auto" w:fill="F5EBC8"/>
          </w:tcPr>
          <w:p>
            <w:r/>
            <w:r>
              <w:rPr>
                <w:b/>
                <w:sz w:val="20"/>
              </w:rPr>
              <w:t>Action</w:t>
            </w:r>
          </w:p>
        </w:tc>
        <w:tc>
          <w:tcPr>
            <w:tcW w:type="dxa" w:w="2268"/>
            <w:shd w:val="clear" w:color="auto" w:fill="F5EBC8"/>
          </w:tcPr>
          <w:p>
            <w:r/>
            <w:r>
              <w:rPr>
                <w:b/>
                <w:sz w:val="20"/>
              </w:rPr>
              <w:t>Owner</w:t>
            </w:r>
          </w:p>
        </w:tc>
        <w:tc>
          <w:tcPr>
            <w:tcW w:type="dxa" w:w="2268"/>
            <w:shd w:val="clear" w:color="auto" w:fill="F5EBC8"/>
          </w:tcPr>
          <w:p>
            <w:r/>
            <w:r>
              <w:rPr>
                <w:b/>
                <w:sz w:val="20"/>
              </w:rPr>
              <w:t>Timing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Sign IP Assignment Agreement transferring all LTH PVR IP from Founder to BitWealth (Pty) Ltd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Founder + Attorney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Before any partnership discussion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Execute JR Agreement with RocketX (Phase 1)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All parties + Attorney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On RocketX CASP licence finalisation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Begin onboarding clients under JR cover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BitWealth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Immediately after JR signing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Negotiate and sign Shareholders Agreement (SHA) — Phase 2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All parties + Attorney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Within 3–6 months of JR start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Convert from JR to permanent equity structure; JR fees fall away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All parties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On SHA effective date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Submit own FSP licence application (continuing in parallel)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Founder + Compliance Officer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Within 6 months</w:t>
            </w:r>
          </w:p>
        </w:tc>
      </w:tr>
    </w:tbl>
    <w:p>
      <w:pPr>
        <w:pStyle w:val="Heading1"/>
      </w:pPr>
      <w:r>
        <w:rPr>
          <w:rFonts w:ascii="Calibri" w:hAnsi="Calibri"/>
          <w:color w:val="C9A227"/>
        </w:rPr>
        <w:t>8. Key Risks to Manage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val="clear" w:color="auto" w:fill="F5EBC8"/>
          </w:tcPr>
          <w:p>
            <w:r/>
            <w:r>
              <w:rPr>
                <w:b/>
                <w:sz w:val="20"/>
              </w:rPr>
              <w:t>Risk</w:t>
            </w:r>
          </w:p>
        </w:tc>
        <w:tc>
          <w:tcPr>
            <w:tcW w:type="dxa" w:w="5953"/>
            <w:shd w:val="clear" w:color="auto" w:fill="F5EBC8"/>
          </w:tcPr>
          <w:p>
            <w:r/>
            <w:r>
              <w:rPr>
                <w:b/>
                <w:sz w:val="20"/>
              </w:rPr>
              <w:t>Mitigant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Founder loses control through dilution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  <w:t>Cap RocketX + Simon combined at &lt;50% in initial round; require shareholder supermajority for further dilution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RocketX uses leverage (licence dependency) to renegotiate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  <w:t>Time-bound JR agreement with credit toward equity; pursue own FSP licence in parallel as exit option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Simon underdelivers on distribution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  <w:t>Vesting schedule with performance milestones; reverse vesting if AUM targets missed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IP disputes if Founder exits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  <w:t>All IP assigned to BitWealth (Pty) Ltd before any equity is issued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Disagreement on operational direction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  <w:t>Founder retains CEO role; clear decision rights in SHA; deadlock resolution mechanism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Client portability if partnership ends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  <w:t>Client mandates explicitly with BitWealth, not RocketX; written portability clause in JR</w:t>
            </w:r>
          </w:p>
        </w:tc>
      </w:tr>
    </w:tbl>
    <w:p/>
    <w:p>
      <w:pPr>
        <w:jc w:val="center"/>
      </w:pPr>
      <w:r>
        <w:rPr>
          <w:i/>
          <w:color w:val="555555"/>
          <w:sz w:val="18"/>
        </w:rPr>
        <w:t>This document is a discussion framework prepared by the Founder of BitWealth (Pty) Ltd. All terms are non-binding and subject to negotiation and formal legal documentation. Final agreements should be drafted and reviewed by attorneys experienced in financial services partnerships and shareholder agreements in South Africa.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