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A2A43"/>
          <w:sz w:val="40"/>
        </w:rPr>
        <w:t>FOUNDING SHARES TRANSFER PACK</w:t>
      </w:r>
    </w:p>
    <w:p>
      <w:pPr>
        <w:spacing w:before="40" w:after="40"/>
        <w:jc w:val="center"/>
      </w:pPr>
      <w:r>
        <w:rPr>
          <w:rFonts w:ascii="Calibri" w:hAnsi="Calibri"/>
          <w:b/>
          <w:i w:val="0"/>
          <w:color w:val="0A2A43"/>
          <w:sz w:val="26"/>
        </w:rPr>
        <w:t>BitWealth Asset Managers (Pty) Ltd (Registration No. 2026/090346/07)</w:t>
      </w:r>
    </w:p>
    <w:p>
      <w:pPr>
        <w:spacing w:before="40" w:after="200"/>
        <w:jc w:val="center"/>
      </w:pPr>
      <w:r>
        <w:rPr>
          <w:rFonts w:ascii="Calibri" w:hAnsi="Calibri"/>
          <w:b w:val="0"/>
          <w:i w:val="0"/>
          <w:color w:val="555555"/>
          <w:sz w:val="22"/>
        </w:rPr>
        <w:t>Transfer of 100 Ordinary Shares (10%) from Davin Harald Gaier to Mhuri Investment Holdings (Pty) Ltd</w:t>
      </w:r>
    </w:p>
    <w:p>
      <w:pPr>
        <w:spacing w:before="40" w:after="80"/>
        <w:pBdr>
          <w:bottom w:val="single" w:sz="6" w:space="1" w:color="0A2A43"/>
        </w:pBdr>
      </w:pPr>
    </w:p>
    <w:p>
      <w:pPr>
        <w:spacing w:before="40" w:after="200"/>
        <w:jc w:val="center"/>
      </w:pPr>
      <w:r>
        <w:rPr>
          <w:rFonts w:ascii="Calibri" w:hAnsi="Calibri"/>
          <w:b w:val="0"/>
          <w:i/>
          <w:color w:val="B71C1C"/>
          <w:sz w:val="18"/>
        </w:rPr>
        <w:t>WORKING DRAFT — NOT REVIEWED BY AN ATTORNEY OR TAX ADVISOR. The share valuation and STT figures below are placeholders pending confirmation of current fair value by your tax advisor. This pack gives effect to SHA clause 7 and Deed of Adherence clause 2.2 and must be finalised before signature.</w:t>
      </w:r>
    </w:p>
    <w:p>
      <w:pPr>
        <w:spacing w:before="40" w:after="80"/>
        <w:pBdr>
          <w:bottom w:val="single" w:sz="6" w:space="1" w:color="0A2A43"/>
        </w:pBdr>
      </w:pPr>
    </w:p>
    <w:p>
      <w:pPr>
        <w:spacing w:before="320" w:after="160"/>
      </w:pPr>
      <w:r>
        <w:rPr>
          <w:rFonts w:ascii="Calibri" w:hAnsi="Calibri"/>
          <w:b/>
          <w:color w:val="0A2A43"/>
          <w:sz w:val="30"/>
        </w:rPr>
        <w:t>1. WRITTEN RESOLUTION OF DIRECTORS</w:t>
      </w:r>
    </w:p>
    <w:p>
      <w:pPr>
        <w:spacing w:before="40" w:after="160"/>
        <w:jc w:val="both"/>
      </w:pPr>
      <w:r>
        <w:rPr>
          <w:rFonts w:ascii="Calibri" w:hAnsi="Calibri"/>
          <w:b/>
          <w:i w:val="0"/>
          <w:color w:val="1A1A1A"/>
          <w:sz w:val="22"/>
        </w:rPr>
        <w:t>BitWealth Asset Managers (Pty) Ltd (Registration No. 2026/090346/07) (“the Company”)</w:t>
      </w:r>
    </w:p>
    <w:p>
      <w:pPr>
        <w:spacing w:before="40" w:after="80"/>
        <w:jc w:val="both"/>
      </w:pPr>
      <w:r>
        <w:rPr>
          <w:rFonts w:ascii="Calibri" w:hAnsi="Calibri"/>
          <w:b w:val="0"/>
          <w:i w:val="0"/>
          <w:color w:val="1A1A1A"/>
          <w:sz w:val="22"/>
        </w:rPr>
        <w:t>WRITTEN RESOLUTION OF THE DIRECTORS passed in terms of section 74 of the Companies Act 71 of 2008 and the Company's Memorandum of Incorporation, on [insert date].</w:t>
      </w:r>
    </w:p>
    <w:p>
      <w:pPr>
        <w:spacing w:before="0" w:after="100"/>
        <w:ind w:left="567" w:hanging="567"/>
        <w:jc w:val="both"/>
      </w:pPr>
      <w:r>
        <w:rPr>
          <w:rFonts w:ascii="Calibri" w:hAnsi="Calibri"/>
          <w:b/>
          <w:color w:val="1A1A1A"/>
          <w:sz w:val="22"/>
        </w:rPr>
        <w:t>1.</w:t>
        <w:tab/>
      </w:r>
      <w:r>
        <w:rPr>
          <w:rFonts w:ascii="Calibri" w:hAnsi="Calibri"/>
          <w:color w:val="1A1A1A"/>
          <w:sz w:val="22"/>
        </w:rPr>
        <w:t>CONDITIONS PRECEDENT. The directors record that the conditions precedent in clause 7.4 of the Shareholders’ Agreement dated [insert SHA date] and clause 2.2 of the Deed of Adherence dated [insert Deed date] have been satisfied, namely: (a) Simon Henry Newbold Hobday has obtained independent legal advice; (b) independent tax advice has been obtained regarding the income tax, CGT and donations tax consequences of the transfer, including the consequences of transferring to Mhuri Investment Holdings (Pty) Ltd rather than to Simon personally; (c) Finova (Pty) Ltd (FSP No. 21095) has provided a Juristic Representative appointment or letter of intent to appoint; and (d) Simon meets the minimum FAIS fit-and-proper requirements applicable to his representative role.</w:t>
      </w:r>
    </w:p>
    <w:p>
      <w:pPr>
        <w:spacing w:before="0" w:after="100"/>
        <w:ind w:left="567" w:hanging="567"/>
        <w:jc w:val="both"/>
      </w:pPr>
      <w:r>
        <w:rPr>
          <w:rFonts w:ascii="Calibri" w:hAnsi="Calibri"/>
          <w:b/>
          <w:color w:val="1A1A1A"/>
          <w:sz w:val="22"/>
        </w:rPr>
        <w:t>2.</w:t>
        <w:tab/>
      </w:r>
      <w:r>
        <w:rPr>
          <w:rFonts w:ascii="Calibri" w:hAnsi="Calibri"/>
          <w:color w:val="1A1A1A"/>
          <w:sz w:val="22"/>
        </w:rPr>
        <w:t>APPROVAL OF TRANSFER. The directors approve the transfer of 100 (one hundred) Ordinary Shares, constituting 10% of the issued share capital of the Company, from Davin Harald Gaier to Mhuri Investment Holdings (Pty) Ltd (Registration No. 2017/334996/07), for a consideration of [R_______ / nil, subject to fair value determination for Securities Transfer Tax purposes].</w:t>
      </w:r>
    </w:p>
    <w:p>
      <w:pPr>
        <w:spacing w:before="0" w:after="100"/>
        <w:ind w:left="567" w:hanging="567"/>
        <w:jc w:val="both"/>
      </w:pPr>
      <w:r>
        <w:rPr>
          <w:rFonts w:ascii="Calibri" w:hAnsi="Calibri"/>
          <w:b/>
          <w:color w:val="1A1A1A"/>
          <w:sz w:val="22"/>
        </w:rPr>
        <w:t>3.</w:t>
        <w:tab/>
      </w:r>
      <w:r>
        <w:rPr>
          <w:rFonts w:ascii="Calibri" w:hAnsi="Calibri"/>
          <w:color w:val="1A1A1A"/>
          <w:sz w:val="22"/>
        </w:rPr>
        <w:t>SECURITIES REGISTER. The directors authorise and direct that the Company’s securities register be updated to reflect Davin Harald Gaier as holder of 900 Ordinary Shares and Mhuri Investment Holdings (Pty) Ltd as holder of 100 Ordinary Shares, and that any share certificates be issued or cancelled accordingly.</w:t>
      </w:r>
    </w:p>
    <w:p>
      <w:pPr>
        <w:spacing w:before="0" w:after="100"/>
        <w:ind w:left="567" w:hanging="567"/>
        <w:jc w:val="both"/>
      </w:pPr>
      <w:r>
        <w:rPr>
          <w:rFonts w:ascii="Calibri" w:hAnsi="Calibri"/>
          <w:b/>
          <w:color w:val="1A1A1A"/>
          <w:sz w:val="22"/>
        </w:rPr>
        <w:t>4.</w:t>
        <w:tab/>
      </w:r>
      <w:r>
        <w:rPr>
          <w:rFonts w:ascii="Calibri" w:hAnsi="Calibri"/>
          <w:color w:val="1A1A1A"/>
          <w:sz w:val="22"/>
        </w:rPr>
        <w:t>SECURITIES TRANSFER TAX. The directors authorise the Company to settle the Securities Transfer Tax payable on the transfer, as required by clause 7.5 of the Shareholders’ Agreement, and to file the relevant SARS return.</w:t>
      </w:r>
    </w:p>
    <w:p>
      <w:pPr>
        <w:spacing w:before="0" w:after="100"/>
        <w:ind w:left="567" w:hanging="567"/>
        <w:jc w:val="both"/>
      </w:pPr>
      <w:r>
        <w:rPr>
          <w:rFonts w:ascii="Calibri" w:hAnsi="Calibri"/>
          <w:b/>
          <w:color w:val="1A1A1A"/>
          <w:sz w:val="22"/>
        </w:rPr>
        <w:t>5.</w:t>
        <w:tab/>
      </w:r>
      <w:r>
        <w:rPr>
          <w:rFonts w:ascii="Calibri" w:hAnsi="Calibri"/>
          <w:color w:val="1A1A1A"/>
          <w:sz w:val="22"/>
        </w:rPr>
        <w:t>BENEFICIAL OWNERSHIP FILING. The directors authorise the Company to update its Beneficial Ownership register and to file the required disclosure with the Companies and Intellectual Property Commission, recording Simon Henry Newbold Hobday and his spouse as the natural persons with a beneficial interest in the shares held by Mhuri Investment Holdings (Pty) Ltd.</w:t>
      </w:r>
    </w:p>
    <w:p>
      <w:pPr>
        <w:spacing w:before="0" w:after="100"/>
        <w:ind w:left="567" w:hanging="567"/>
        <w:jc w:val="both"/>
      </w:pPr>
      <w:r>
        <w:rPr>
          <w:rFonts w:ascii="Calibri" w:hAnsi="Calibri"/>
          <w:b/>
          <w:color w:val="1A1A1A"/>
          <w:sz w:val="22"/>
        </w:rPr>
        <w:t>6.</w:t>
        <w:tab/>
      </w:r>
      <w:r>
        <w:rPr>
          <w:rFonts w:ascii="Calibri" w:hAnsi="Calibri"/>
          <w:color w:val="1A1A1A"/>
          <w:sz w:val="22"/>
        </w:rPr>
        <w:t>GENERAL AUTHORITY. Any one director of the Company is authorised to sign all documents and take all steps necessary or incidental to give effect to this resolution.</w:t>
      </w:r>
    </w:p>
    <w:p/>
    <w:p>
      <w:pPr>
        <w:spacing w:before="20" w:after="60"/>
      </w:pPr>
      <w:r>
        <w:rPr>
          <w:rFonts w:ascii="Calibri" w:hAnsi="Calibri"/>
          <w:color w:val="1A1A1A"/>
          <w:sz w:val="22"/>
        </w:rPr>
        <w:t>Signed: __________________________</w:t>
        <w:tab/>
        <w:tab/>
        <w:t>Date: __________________________</w:t>
      </w:r>
    </w:p>
    <w:p>
      <w:pPr>
        <w:spacing w:before="20" w:after="60"/>
      </w:pPr>
      <w:r>
        <w:rPr>
          <w:rFonts w:ascii="Calibri" w:hAnsi="Calibri"/>
          <w:color w:val="1A1A1A"/>
          <w:sz w:val="22"/>
        </w:rPr>
        <w:t>Full Name: Davin Harald Gaier</w:t>
      </w:r>
    </w:p>
    <w:p>
      <w:pPr>
        <w:spacing w:before="20" w:after="60"/>
      </w:pPr>
      <w:r>
        <w:rPr>
          <w:rFonts w:ascii="Calibri" w:hAnsi="Calibri"/>
          <w:color w:val="1A1A1A"/>
          <w:sz w:val="22"/>
        </w:rPr>
        <w:t>Capacity: Managing Director / Founder</w:t>
      </w:r>
    </w:p>
    <w:p>
      <w:pPr>
        <w:spacing w:after="160"/>
      </w:pPr>
    </w:p>
    <w:p>
      <w:pPr>
        <w:spacing w:before="40" w:after="80"/>
        <w:pBdr>
          <w:bottom w:val="single" w:sz="6" w:space="1" w:color="0A2A43"/>
        </w:pBdr>
      </w:pPr>
    </w:p>
    <w:p>
      <w:r>
        <w:br w:type="page"/>
      </w:r>
    </w:p>
    <w:p>
      <w:pPr>
        <w:spacing w:before="80" w:after="160"/>
      </w:pPr>
      <w:r>
        <w:rPr>
          <w:rFonts w:ascii="Calibri" w:hAnsi="Calibri"/>
          <w:b/>
          <w:color w:val="0A2A43"/>
          <w:sz w:val="30"/>
        </w:rPr>
        <w:t>2. INSTRUMENT OF TRANSFER</w:t>
      </w:r>
    </w:p>
    <w:p>
      <w:pPr>
        <w:spacing w:before="40" w:after="160"/>
        <w:jc w:val="both"/>
      </w:pPr>
      <w:r>
        <w:rPr>
          <w:rFonts w:ascii="Calibri" w:hAnsi="Calibri"/>
          <w:b/>
          <w:i w:val="0"/>
          <w:color w:val="1A1A1A"/>
          <w:sz w:val="22"/>
        </w:rPr>
        <w:t>BitWealth Asset Managers (Pty) Ltd (Registration No. 2026/090346/07)</w:t>
      </w:r>
    </w:p>
    <w:p>
      <w:pPr>
        <w:spacing w:before="40" w:after="80"/>
        <w:jc w:val="both"/>
      </w:pPr>
      <w:r>
        <w:rPr>
          <w:rFonts w:ascii="Calibri" w:hAnsi="Calibri"/>
          <w:b w:val="0"/>
          <w:i w:val="0"/>
          <w:color w:val="1A1A1A"/>
          <w:sz w:val="22"/>
        </w:rPr>
        <w:t>This Instrument of Transfer is made in terms of the Shareholders’ Agreement dated [insert SHA date] and the Deed of Adherence dated [insert Deed date].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A2A43"/>
          </w:tcPr>
          <w:p>
            <w:r/>
            <w:r>
              <w:rPr>
                <w:rFonts w:ascii="Calibri" w:hAnsi="Calibri"/>
                <w:b/>
                <w:color w:val="FFFFFF"/>
                <w:sz w:val="22"/>
              </w:rPr>
              <w:t>Transferor</w:t>
            </w:r>
          </w:p>
        </w:tc>
        <w:tc>
          <w:tcPr>
            <w:tcW w:type="dxa" w:w="4703"/>
          </w:tcPr>
          <w:p>
            <w:r/>
            <w:r>
              <w:rPr>
                <w:rFonts w:ascii="Calibri" w:hAnsi="Calibri"/>
                <w:color w:val="1A1A1A"/>
                <w:sz w:val="22"/>
              </w:rPr>
              <w:t>Davin Harald Gaier (ID 8405025239081)</w:t>
            </w:r>
          </w:p>
        </w:tc>
      </w:tr>
      <w:tr>
        <w:tc>
          <w:tcPr>
            <w:tcW w:type="dxa" w:w="4703"/>
            <w:shd w:val="clear" w:color="auto" w:fill="0A2A43"/>
          </w:tcPr>
          <w:p>
            <w:r/>
            <w:r>
              <w:rPr>
                <w:rFonts w:ascii="Calibri" w:hAnsi="Calibri"/>
                <w:b/>
                <w:color w:val="FFFFFF"/>
                <w:sz w:val="22"/>
              </w:rPr>
              <w:t>Transferee</w:t>
            </w:r>
          </w:p>
        </w:tc>
        <w:tc>
          <w:tcPr>
            <w:tcW w:type="dxa" w:w="4703"/>
          </w:tcPr>
          <w:p>
            <w:r/>
            <w:r>
              <w:rPr>
                <w:rFonts w:ascii="Calibri" w:hAnsi="Calibri"/>
                <w:color w:val="1A1A1A"/>
                <w:sz w:val="22"/>
              </w:rPr>
              <w:t>Mhuri Investment Holdings (Pty) Ltd (Reg. No. 2017/334996/07)</w:t>
              <w:br/>
              <w:t>6 Sardinia, Golf Close, Lonehill, Gauteng, 2196</w:t>
            </w:r>
          </w:p>
        </w:tc>
      </w:tr>
      <w:tr>
        <w:tc>
          <w:tcPr>
            <w:tcW w:type="dxa" w:w="4703"/>
            <w:shd w:val="clear" w:color="auto" w:fill="0A2A43"/>
          </w:tcPr>
          <w:p>
            <w:r/>
            <w:r>
              <w:rPr>
                <w:rFonts w:ascii="Calibri" w:hAnsi="Calibri"/>
                <w:b/>
                <w:color w:val="FFFFFF"/>
                <w:sz w:val="22"/>
              </w:rPr>
              <w:t>Class of shares</w:t>
            </w:r>
          </w:p>
        </w:tc>
        <w:tc>
          <w:tcPr>
            <w:tcW w:type="dxa" w:w="4703"/>
          </w:tcPr>
          <w:p>
            <w:r/>
            <w:r>
              <w:rPr>
                <w:rFonts w:ascii="Calibri" w:hAnsi="Calibri"/>
                <w:color w:val="1A1A1A"/>
                <w:sz w:val="22"/>
              </w:rPr>
              <w:t>Ordinary Shares of R1.00 par value each</w:t>
            </w:r>
          </w:p>
        </w:tc>
      </w:tr>
      <w:tr>
        <w:tc>
          <w:tcPr>
            <w:tcW w:type="dxa" w:w="4703"/>
            <w:shd w:val="clear" w:color="auto" w:fill="0A2A43"/>
          </w:tcPr>
          <w:p>
            <w:r/>
            <w:r>
              <w:rPr>
                <w:rFonts w:ascii="Calibri" w:hAnsi="Calibri"/>
                <w:b/>
                <w:color w:val="FFFFFF"/>
                <w:sz w:val="22"/>
              </w:rPr>
              <w:t>Number of shares transferred</w:t>
            </w:r>
          </w:p>
        </w:tc>
        <w:tc>
          <w:tcPr>
            <w:tcW w:type="dxa" w:w="4703"/>
          </w:tcPr>
          <w:p>
            <w:r/>
            <w:r>
              <w:rPr>
                <w:rFonts w:ascii="Calibri" w:hAnsi="Calibri"/>
                <w:color w:val="1A1A1A"/>
                <w:sz w:val="22"/>
              </w:rPr>
              <w:t>100 (one hundred), being 10% of the issued share capital</w:t>
            </w:r>
          </w:p>
        </w:tc>
      </w:tr>
      <w:tr>
        <w:tc>
          <w:tcPr>
            <w:tcW w:type="dxa" w:w="4703"/>
            <w:shd w:val="clear" w:color="auto" w:fill="0A2A43"/>
          </w:tcPr>
          <w:p>
            <w:r/>
            <w:r>
              <w:rPr>
                <w:rFonts w:ascii="Calibri" w:hAnsi="Calibri"/>
                <w:b/>
                <w:color w:val="FFFFFF"/>
                <w:sz w:val="22"/>
              </w:rPr>
              <w:t>Consideration</w:t>
            </w:r>
          </w:p>
        </w:tc>
        <w:tc>
          <w:tcPr>
            <w:tcW w:type="dxa" w:w="4703"/>
          </w:tcPr>
          <w:p>
            <w:r/>
            <w:r>
              <w:rPr>
                <w:rFonts w:ascii="Calibri" w:hAnsi="Calibri"/>
                <w:color w:val="1A1A1A"/>
                <w:sz w:val="22"/>
              </w:rPr>
              <w:t>[R_______ / nil consideration, subject to fair value for STT purposes]</w:t>
            </w:r>
          </w:p>
        </w:tc>
      </w:tr>
      <w:tr>
        <w:tc>
          <w:tcPr>
            <w:tcW w:type="dxa" w:w="4703"/>
            <w:shd w:val="clear" w:color="auto" w:fill="0A2A43"/>
          </w:tcPr>
          <w:p>
            <w:r/>
            <w:r>
              <w:rPr>
                <w:rFonts w:ascii="Calibri" w:hAnsi="Calibri"/>
                <w:b/>
                <w:color w:val="FFFFFF"/>
                <w:sz w:val="22"/>
              </w:rPr>
              <w:t>Date of transfer</w:t>
            </w:r>
          </w:p>
        </w:tc>
        <w:tc>
          <w:tcPr>
            <w:tcW w:type="dxa" w:w="4703"/>
          </w:tcPr>
          <w:p>
            <w:r/>
            <w:r>
              <w:rPr>
                <w:rFonts w:ascii="Calibri" w:hAnsi="Calibri"/>
                <w:color w:val="1A1A1A"/>
                <w:sz w:val="22"/>
              </w:rPr>
              <w:t>[insert date]</w:t>
            </w:r>
          </w:p>
        </w:tc>
      </w:tr>
    </w:tbl>
    <w:p/>
    <w:p>
      <w:pPr>
        <w:spacing w:before="160" w:after="80"/>
        <w:jc w:val="both"/>
      </w:pPr>
      <w:r>
        <w:rPr>
          <w:rFonts w:ascii="Calibri" w:hAnsi="Calibri"/>
          <w:b w:val="0"/>
          <w:i w:val="0"/>
          <w:color w:val="1A1A1A"/>
          <w:sz w:val="22"/>
        </w:rPr>
        <w:t>The Transferor hereby transfers, and the Transferee hereby accepts transfer of, the shares described above, to be held subject to the Shareholders’ Agreement and the Deed of Adherence referred to above.</w:t>
      </w:r>
    </w:p>
    <w:p/>
    <w:p>
      <w:pPr>
        <w:spacing w:before="20" w:after="60"/>
      </w:pPr>
      <w:r>
        <w:rPr>
          <w:rFonts w:ascii="Calibri" w:hAnsi="Calibri"/>
          <w:color w:val="1A1A1A"/>
          <w:sz w:val="22"/>
        </w:rPr>
        <w:t>Signed: __________________________</w:t>
        <w:tab/>
        <w:tab/>
        <w:t>Date: __________________________</w:t>
      </w:r>
    </w:p>
    <w:p>
      <w:pPr>
        <w:spacing w:before="20" w:after="60"/>
      </w:pPr>
      <w:r>
        <w:rPr>
          <w:rFonts w:ascii="Calibri" w:hAnsi="Calibri"/>
          <w:color w:val="1A1A1A"/>
          <w:sz w:val="22"/>
        </w:rPr>
        <w:t>Full Name: Davin Harald Gaier</w:t>
      </w:r>
    </w:p>
    <w:p>
      <w:pPr>
        <w:spacing w:before="20" w:after="60"/>
      </w:pPr>
      <w:r>
        <w:rPr>
          <w:rFonts w:ascii="Calibri" w:hAnsi="Calibri"/>
          <w:color w:val="1A1A1A"/>
          <w:sz w:val="22"/>
        </w:rPr>
        <w:t>Capacity: In his personal capacity</w:t>
      </w:r>
    </w:p>
    <w:p>
      <w:pPr>
        <w:spacing w:after="160"/>
      </w:pPr>
    </w:p>
    <w:p>
      <w:pPr>
        <w:spacing w:before="20" w:after="60"/>
      </w:pPr>
      <w:r>
        <w:rPr>
          <w:rFonts w:ascii="Calibri" w:hAnsi="Calibri"/>
          <w:color w:val="1A1A1A"/>
          <w:sz w:val="22"/>
        </w:rPr>
        <w:t>Signed: __________________________</w:t>
        <w:tab/>
        <w:tab/>
        <w:t>Date: __________________________</w:t>
      </w:r>
    </w:p>
    <w:p>
      <w:pPr>
        <w:spacing w:before="20" w:after="60"/>
      </w:pPr>
      <w:r>
        <w:rPr>
          <w:rFonts w:ascii="Calibri" w:hAnsi="Calibri"/>
          <w:color w:val="1A1A1A"/>
          <w:sz w:val="22"/>
        </w:rPr>
        <w:t>Full Name: [Authorised director]</w:t>
      </w:r>
    </w:p>
    <w:p>
      <w:pPr>
        <w:spacing w:before="20" w:after="60"/>
      </w:pPr>
      <w:r>
        <w:rPr>
          <w:rFonts w:ascii="Calibri" w:hAnsi="Calibri"/>
          <w:color w:val="1A1A1A"/>
          <w:sz w:val="22"/>
        </w:rPr>
        <w:t>Capacity: For and on behalf of Mhuri Investment Holdings (Pty) Ltd</w:t>
      </w:r>
    </w:p>
    <w:p>
      <w:pPr>
        <w:spacing w:after="160"/>
      </w:pPr>
    </w:p>
    <w:p>
      <w:pPr>
        <w:spacing w:before="40" w:after="80"/>
        <w:pBdr>
          <w:bottom w:val="single" w:sz="6" w:space="1" w:color="0A2A43"/>
        </w:pBdr>
      </w:pPr>
    </w:p>
    <w:p>
      <w:r>
        <w:br w:type="page"/>
      </w:r>
    </w:p>
    <w:p>
      <w:pPr>
        <w:spacing w:before="80" w:after="160"/>
      </w:pPr>
      <w:r>
        <w:rPr>
          <w:rFonts w:ascii="Calibri" w:hAnsi="Calibri"/>
          <w:b/>
          <w:color w:val="0A2A43"/>
          <w:sz w:val="30"/>
        </w:rPr>
        <w:t>3. UPDATED SECURITIES REGISTER EXTRACT</w:t>
      </w:r>
    </w:p>
    <w:p>
      <w:pPr>
        <w:spacing w:before="40" w:after="160"/>
        <w:jc w:val="both"/>
      </w:pPr>
      <w:r>
        <w:rPr>
          <w:rFonts w:ascii="Calibri" w:hAnsi="Calibri"/>
          <w:b w:val="0"/>
          <w:i w:val="0"/>
          <w:color w:val="1A1A1A"/>
          <w:sz w:val="22"/>
        </w:rPr>
        <w:t>Extract from the Company’s securities register (maintained under section 50 of the Companies Act 71 of 2008) following registration of the transfer: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A2A43"/>
          </w:tcPr>
          <w:p>
            <w:pPr>
              <w:jc w:val="center"/>
            </w:pPr>
            <w:r/>
            <w:r>
              <w:rPr>
                <w:rFonts w:ascii="Calibri" w:hAnsi="Calibri"/>
                <w:b/>
                <w:color w:val="FFFFFF"/>
                <w:sz w:val="20"/>
              </w:rPr>
              <w:t>Shareholder</w:t>
            </w:r>
          </w:p>
        </w:tc>
        <w:tc>
          <w:tcPr>
            <w:tcW w:type="dxa" w:w="2351"/>
            <w:shd w:val="clear" w:color="auto" w:fill="0A2A43"/>
          </w:tcPr>
          <w:p>
            <w:pPr>
              <w:jc w:val="center"/>
            </w:pPr>
            <w:r/>
            <w:r>
              <w:rPr>
                <w:rFonts w:ascii="Calibri" w:hAnsi="Calibri"/>
                <w:b/>
                <w:color w:val="FFFFFF"/>
                <w:sz w:val="20"/>
              </w:rPr>
              <w:t>Ordinary Shares</w:t>
            </w:r>
          </w:p>
        </w:tc>
        <w:tc>
          <w:tcPr>
            <w:tcW w:type="dxa" w:w="2351"/>
            <w:shd w:val="clear" w:color="auto" w:fill="0A2A43"/>
          </w:tcPr>
          <w:p>
            <w:pPr>
              <w:jc w:val="center"/>
            </w:pPr>
            <w:r/>
            <w:r>
              <w:rPr>
                <w:rFonts w:ascii="Calibri" w:hAnsi="Calibri"/>
                <w:b/>
                <w:color w:val="FFFFFF"/>
                <w:sz w:val="20"/>
              </w:rPr>
              <w:t>% Holding</w:t>
            </w:r>
          </w:p>
        </w:tc>
        <w:tc>
          <w:tcPr>
            <w:tcW w:type="dxa" w:w="2351"/>
            <w:shd w:val="clear" w:color="auto" w:fill="0A2A43"/>
          </w:tcPr>
          <w:p>
            <w:pPr>
              <w:jc w:val="center"/>
            </w:pPr>
            <w:r/>
            <w:r>
              <w:rPr>
                <w:rFonts w:ascii="Calibri" w:hAnsi="Calibri"/>
                <w:b/>
                <w:color w:val="FFFFFF"/>
                <w:sz w:val="20"/>
              </w:rPr>
              <w:t>Date registered</w:t>
            </w:r>
          </w:p>
        </w:tc>
      </w:tr>
      <w:tr>
        <w:tc>
          <w:tcPr>
            <w:tcW w:type="dxa" w:w="2351"/>
          </w:tcPr>
          <w:p>
            <w:pPr>
              <w:jc w:val="center"/>
            </w:pPr>
            <w:r/>
            <w:r>
              <w:rPr>
                <w:rFonts w:ascii="Calibri" w:hAnsi="Calibri"/>
                <w:b w:val="0"/>
                <w:color w:val="1A1A1A"/>
                <w:sz w:val="20"/>
              </w:rPr>
              <w:t>Davin Harald Gaier</w:t>
            </w:r>
          </w:p>
        </w:tc>
        <w:tc>
          <w:tcPr>
            <w:tcW w:type="dxa" w:w="2351"/>
          </w:tcPr>
          <w:p>
            <w:pPr>
              <w:jc w:val="center"/>
            </w:pPr>
            <w:r/>
            <w:r>
              <w:rPr>
                <w:rFonts w:ascii="Calibri" w:hAnsi="Calibri"/>
                <w:b w:val="0"/>
                <w:color w:val="1A1A1A"/>
                <w:sz w:val="20"/>
              </w:rPr>
              <w:t>900</w:t>
            </w:r>
          </w:p>
        </w:tc>
        <w:tc>
          <w:tcPr>
            <w:tcW w:type="dxa" w:w="2351"/>
          </w:tcPr>
          <w:p>
            <w:pPr>
              <w:jc w:val="center"/>
            </w:pPr>
            <w:r/>
            <w:r>
              <w:rPr>
                <w:rFonts w:ascii="Calibri" w:hAnsi="Calibri"/>
                <w:b w:val="0"/>
                <w:color w:val="1A1A1A"/>
                <w:sz w:val="20"/>
              </w:rPr>
              <w:t>90%</w:t>
            </w:r>
          </w:p>
        </w:tc>
        <w:tc>
          <w:tcPr>
            <w:tcW w:type="dxa" w:w="2351"/>
          </w:tcPr>
          <w:p>
            <w:pPr>
              <w:jc w:val="center"/>
            </w:pPr>
            <w:r/>
            <w:r>
              <w:rPr>
                <w:rFonts w:ascii="Calibri" w:hAnsi="Calibri"/>
                <w:b w:val="0"/>
                <w:color w:val="1A1A1A"/>
                <w:sz w:val="20"/>
              </w:rPr>
              <w:t>—</w:t>
            </w:r>
          </w:p>
        </w:tc>
      </w:tr>
      <w:tr>
        <w:tc>
          <w:tcPr>
            <w:tcW w:type="dxa" w:w="2351"/>
          </w:tcPr>
          <w:p>
            <w:pPr>
              <w:jc w:val="center"/>
            </w:pPr>
            <w:r/>
            <w:r>
              <w:rPr>
                <w:rFonts w:ascii="Calibri" w:hAnsi="Calibri"/>
                <w:b w:val="0"/>
                <w:color w:val="1A1A1A"/>
                <w:sz w:val="20"/>
              </w:rPr>
              <w:t>Mhuri Investment Holdings (Pty) Ltd</w:t>
            </w:r>
          </w:p>
        </w:tc>
        <w:tc>
          <w:tcPr>
            <w:tcW w:type="dxa" w:w="2351"/>
          </w:tcPr>
          <w:p>
            <w:pPr>
              <w:jc w:val="center"/>
            </w:pPr>
            <w:r/>
            <w:r>
              <w:rPr>
                <w:rFonts w:ascii="Calibri" w:hAnsi="Calibri"/>
                <w:b w:val="0"/>
                <w:color w:val="1A1A1A"/>
                <w:sz w:val="20"/>
              </w:rPr>
              <w:t>100</w:t>
            </w:r>
          </w:p>
        </w:tc>
        <w:tc>
          <w:tcPr>
            <w:tcW w:type="dxa" w:w="2351"/>
          </w:tcPr>
          <w:p>
            <w:pPr>
              <w:jc w:val="center"/>
            </w:pPr>
            <w:r/>
            <w:r>
              <w:rPr>
                <w:rFonts w:ascii="Calibri" w:hAnsi="Calibri"/>
                <w:b w:val="0"/>
                <w:color w:val="1A1A1A"/>
                <w:sz w:val="20"/>
              </w:rPr>
              <w:t>10%</w:t>
            </w:r>
          </w:p>
        </w:tc>
        <w:tc>
          <w:tcPr>
            <w:tcW w:type="dxa" w:w="2351"/>
          </w:tcPr>
          <w:p>
            <w:pPr>
              <w:jc w:val="center"/>
            </w:pPr>
            <w:r/>
            <w:r>
              <w:rPr>
                <w:rFonts w:ascii="Calibri" w:hAnsi="Calibri"/>
                <w:b w:val="0"/>
                <w:color w:val="1A1A1A"/>
                <w:sz w:val="20"/>
              </w:rPr>
              <w:t>[insert date]</w:t>
            </w:r>
          </w:p>
        </w:tc>
      </w:tr>
      <w:tr>
        <w:tc>
          <w:tcPr>
            <w:tcW w:type="dxa" w:w="2351"/>
          </w:tcPr>
          <w:p>
            <w:pPr>
              <w:jc w:val="center"/>
            </w:pPr>
            <w:r/>
            <w:r>
              <w:rPr>
                <w:rFonts w:ascii="Calibri" w:hAnsi="Calibri"/>
                <w:b/>
                <w:color w:val="1A1A1A"/>
                <w:sz w:val="20"/>
              </w:rPr>
              <w:t>TOTAL</w:t>
            </w:r>
          </w:p>
        </w:tc>
        <w:tc>
          <w:tcPr>
            <w:tcW w:type="dxa" w:w="2351"/>
          </w:tcPr>
          <w:p>
            <w:pPr>
              <w:jc w:val="center"/>
            </w:pPr>
            <w:r/>
            <w:r>
              <w:rPr>
                <w:rFonts w:ascii="Calibri" w:hAnsi="Calibri"/>
                <w:b/>
                <w:color w:val="1A1A1A"/>
                <w:sz w:val="20"/>
              </w:rPr>
              <w:t>1,000</w:t>
            </w:r>
          </w:p>
        </w:tc>
        <w:tc>
          <w:tcPr>
            <w:tcW w:type="dxa" w:w="2351"/>
          </w:tcPr>
          <w:p>
            <w:pPr>
              <w:jc w:val="center"/>
            </w:pPr>
            <w:r/>
            <w:r>
              <w:rPr>
                <w:rFonts w:ascii="Calibri" w:hAnsi="Calibri"/>
                <w:b/>
                <w:color w:val="1A1A1A"/>
                <w:sz w:val="20"/>
              </w:rPr>
              <w:t>100%</w:t>
            </w:r>
          </w:p>
        </w:tc>
        <w:tc>
          <w:tcPr>
            <w:tcW w:type="dxa" w:w="2351"/>
          </w:tcPr>
          <w:p>
            <w:pPr>
              <w:jc w:val="center"/>
            </w:pPr>
            <w:r/>
            <w:r>
              <w:rPr>
                <w:rFonts w:ascii="Calibri" w:hAnsi="Calibri"/>
                <w:b/>
                <w:color w:val="1A1A1A"/>
                <w:sz w:val="20"/>
              </w:rPr>
            </w:r>
          </w:p>
        </w:tc>
      </w:tr>
    </w:tbl>
    <w:p>
      <w:pPr>
        <w:spacing w:before="40" w:after="80"/>
        <w:pBdr>
          <w:bottom w:val="single" w:sz="6" w:space="1" w:color="0A2A43"/>
        </w:pBdr>
      </w:pPr>
    </w:p>
    <w:p>
      <w:r>
        <w:br w:type="page"/>
      </w:r>
    </w:p>
    <w:p>
      <w:pPr>
        <w:spacing w:before="80" w:after="160"/>
      </w:pPr>
      <w:r>
        <w:rPr>
          <w:rFonts w:ascii="Calibri" w:hAnsi="Calibri"/>
          <w:b/>
          <w:color w:val="0A2A43"/>
          <w:sz w:val="30"/>
        </w:rPr>
        <w:t>4. REMAINING STEPS CHECKLIST</w:t>
      </w:r>
    </w:p>
    <w:p>
      <w:pPr>
        <w:spacing w:after="80"/>
        <w:ind w:left="567" w:hanging="283"/>
      </w:pPr>
      <w:r>
        <w:rPr>
          <w:rFonts w:ascii="Calibri" w:hAnsi="Calibri"/>
          <w:sz w:val="22"/>
        </w:rPr>
        <w:t>☐</w:t>
        <w:tab/>
      </w:r>
      <w:r>
        <w:rPr>
          <w:rFonts w:ascii="Calibri" w:hAnsi="Calibri"/>
          <w:color w:val="1A1A1A"/>
          <w:sz w:val="22"/>
        </w:rPr>
        <w:t>Tax advisor confirms current fair value of the 100 shares and the STT amount payable.</w:t>
      </w:r>
    </w:p>
    <w:p>
      <w:pPr>
        <w:spacing w:after="80"/>
        <w:ind w:left="567" w:hanging="283"/>
      </w:pPr>
      <w:r>
        <w:rPr>
          <w:rFonts w:ascii="Calibri" w:hAnsi="Calibri"/>
          <w:sz w:val="22"/>
        </w:rPr>
        <w:t>☐</w:t>
        <w:tab/>
      </w:r>
      <w:r>
        <w:rPr>
          <w:rFonts w:ascii="Calibri" w:hAnsi="Calibri"/>
          <w:color w:val="1A1A1A"/>
          <w:sz w:val="22"/>
        </w:rPr>
        <w:t>Directors' resolution (Section 1) signed and dated.</w:t>
      </w:r>
    </w:p>
    <w:p>
      <w:pPr>
        <w:spacing w:after="80"/>
        <w:ind w:left="567" w:hanging="283"/>
      </w:pPr>
      <w:r>
        <w:rPr>
          <w:rFonts w:ascii="Calibri" w:hAnsi="Calibri"/>
          <w:sz w:val="22"/>
        </w:rPr>
        <w:t>☐</w:t>
        <w:tab/>
      </w:r>
      <w:r>
        <w:rPr>
          <w:rFonts w:ascii="Calibri" w:hAnsi="Calibri"/>
          <w:color w:val="1A1A1A"/>
          <w:sz w:val="22"/>
        </w:rPr>
        <w:t>Instrument of Transfer (Section 2) signed by Davin and an authorised Mhuri director.</w:t>
      </w:r>
    </w:p>
    <w:p>
      <w:pPr>
        <w:spacing w:after="80"/>
        <w:ind w:left="567" w:hanging="283"/>
      </w:pPr>
      <w:r>
        <w:rPr>
          <w:rFonts w:ascii="Calibri" w:hAnsi="Calibri"/>
          <w:sz w:val="22"/>
        </w:rPr>
        <w:t>☐</w:t>
        <w:tab/>
      </w:r>
      <w:r>
        <w:rPr>
          <w:rFonts w:ascii="Calibri" w:hAnsi="Calibri"/>
          <w:color w:val="1A1A1A"/>
          <w:sz w:val="22"/>
        </w:rPr>
        <w:t>Securities Transfer Tax return filed and paid via SARS eFiling (within 2 months of transfer).</w:t>
      </w:r>
    </w:p>
    <w:p>
      <w:pPr>
        <w:spacing w:after="80"/>
        <w:ind w:left="567" w:hanging="283"/>
      </w:pPr>
      <w:r>
        <w:rPr>
          <w:rFonts w:ascii="Calibri" w:hAnsi="Calibri"/>
          <w:sz w:val="22"/>
        </w:rPr>
        <w:t>☐</w:t>
        <w:tab/>
      </w:r>
      <w:r>
        <w:rPr>
          <w:rFonts w:ascii="Calibri" w:hAnsi="Calibri"/>
          <w:color w:val="1A1A1A"/>
          <w:sz w:val="22"/>
        </w:rPr>
        <w:t>Company's internal securities register updated (Section 3) and share certificates issued/cancelled.</w:t>
      </w:r>
    </w:p>
    <w:p>
      <w:pPr>
        <w:spacing w:after="80"/>
        <w:ind w:left="567" w:hanging="283"/>
      </w:pPr>
      <w:r>
        <w:rPr>
          <w:rFonts w:ascii="Calibri" w:hAnsi="Calibri"/>
          <w:sz w:val="22"/>
        </w:rPr>
        <w:t>☐</w:t>
        <w:tab/>
      </w:r>
      <w:r>
        <w:rPr>
          <w:rFonts w:ascii="Calibri" w:hAnsi="Calibri"/>
          <w:color w:val="1A1A1A"/>
          <w:sz w:val="22"/>
        </w:rPr>
        <w:t>Beneficial Ownership register updated and filed with CIPC, recording Simon and his spouse as beneficial owners behind Mhuri.</w:t>
      </w:r>
    </w:p>
    <w:p>
      <w:pPr>
        <w:spacing w:after="80"/>
        <w:ind w:left="567" w:hanging="283"/>
      </w:pPr>
      <w:r>
        <w:rPr>
          <w:rFonts w:ascii="Calibri" w:hAnsi="Calibri"/>
          <w:sz w:val="22"/>
        </w:rPr>
        <w:t>☐</w:t>
        <w:tab/>
      </w:r>
      <w:r>
        <w:rPr>
          <w:rFonts w:ascii="Calibri" w:hAnsi="Calibri"/>
          <w:color w:val="1A1A1A"/>
          <w:sz w:val="22"/>
        </w:rPr>
        <w:t>Mhuri submits a Dividends Tax exemption declaration to the Company before any dividend is paid.</w:t>
      </w:r>
    </w:p>
    <w:p>
      <w:pPr>
        <w:spacing w:after="80"/>
        <w:ind w:left="567" w:hanging="283"/>
      </w:pPr>
      <w:r>
        <w:rPr>
          <w:rFonts w:ascii="Calibri" w:hAnsi="Calibri"/>
          <w:sz w:val="22"/>
        </w:rPr>
        <w:t>☐</w:t>
        <w:tab/>
      </w:r>
      <w:r>
        <w:rPr>
          <w:rFonts w:ascii="Calibri" w:hAnsi="Calibri"/>
          <w:color w:val="1A1A1A"/>
          <w:sz w:val="22"/>
        </w:rPr>
        <w:t>FICA/KYC documents obtained for Mhuri (registration documents, registered address proof, directors' ID and proof of address).</w:t>
      </w:r>
    </w:p>
    <w:p>
      <w:pPr>
        <w:spacing w:after="80"/>
        <w:ind w:left="567" w:hanging="283"/>
      </w:pPr>
      <w:r>
        <w:rPr>
          <w:rFonts w:ascii="Calibri" w:hAnsi="Calibri"/>
          <w:sz w:val="22"/>
        </w:rPr>
        <w:t>☐</w:t>
        <w:tab/>
      </w:r>
      <w:r>
        <w:rPr>
          <w:rFonts w:ascii="Calibri" w:hAnsi="Calibri"/>
          <w:color w:val="1A1A1A"/>
          <w:sz w:val="22"/>
        </w:rPr>
        <w:t>Finova's compliance officer informed of the change in BitWealth's shareholding.</w:t>
      </w:r>
    </w:p>
    <w:p>
      <w:pPr>
        <w:spacing w:after="80"/>
        <w:ind w:left="567" w:hanging="283"/>
      </w:pPr>
      <w:r>
        <w:rPr>
          <w:rFonts w:ascii="Calibri" w:hAnsi="Calibri"/>
          <w:sz w:val="22"/>
        </w:rPr>
        <w:t>☐</w:t>
        <w:tab/>
      </w:r>
      <w:r>
        <w:rPr>
          <w:rFonts w:ascii="Calibri" w:hAnsi="Calibri"/>
          <w:color w:val="1A1A1A"/>
          <w:sz w:val="22"/>
        </w:rPr>
        <w:t>Signed SHA, Deed of Adherence (with spousal consent), resolution and transfer form filed together in the Company's minute book.</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