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C9A227"/>
          <w:sz w:val="36"/>
        </w:rPr>
        <w:t>BITWEALTH (PTY) LTD</w:t>
      </w:r>
    </w:p>
    <w:p>
      <w:pPr>
        <w:spacing w:after="40"/>
        <w:jc w:val="center"/>
      </w:pPr>
      <w:r>
        <w:rPr>
          <w:color w:val="1A1A1A"/>
          <w:sz w:val="22"/>
        </w:rPr>
        <w:t>Cap Table Model &amp; Earn-In Schedule — Simon Hobday Revised Proposal</w:t>
      </w:r>
    </w:p>
    <w:p>
      <w:pPr>
        <w:spacing w:after="200"/>
        <w:jc w:val="center"/>
      </w:pPr>
      <w:r>
        <w:rPr>
          <w:i/>
          <w:color w:val="555555"/>
          <w:sz w:val="18"/>
        </w:rPr>
        <w:t>Date: 29 June 2026  ·  PRIVATE &amp; CONFIDENTIAL  ·  NON-BINDING</w:t>
      </w:r>
    </w:p>
    <w:p>
      <w:pPr>
        <w:spacing w:before="80" w:after="80"/>
        <w:pBdr>
          <w:bottom w:val="single" w:sz="4" w:space="1" w:color="C9A227"/>
        </w:pBdr>
      </w:pPr>
    </w:p>
    <w:p>
      <w:pPr>
        <w:keepNext/>
        <w:spacing w:before="280" w:after="80"/>
      </w:pPr>
      <w:r>
        <w:rPr>
          <w:rFonts w:ascii="Calibri" w:hAnsi="Calibri"/>
          <w:b/>
          <w:color w:val="C9A227"/>
          <w:sz w:val="28"/>
        </w:rPr>
        <w:t>1.  BACKGROUND &amp; IP FOUNDATION</w:t>
      </w:r>
    </w:p>
    <w:p>
      <w:pPr>
        <w:spacing w:before="40" w:after="80"/>
      </w:pPr>
      <w:r>
        <w:rPr>
          <w:i w:val="0"/>
          <w:color w:val="1A1A1A"/>
          <w:sz w:val="20"/>
        </w:rPr>
        <w:t>BitWealth (Pty) Ltd ('the Company') has been incorporated to operate a Bitcoin Dollar-Cost Averaging (DCA) investment management platform regulated under the Financial Advisory and Intermediary Services Act, 37 of 2002 (FAIS Act). The Company will be appointed as a Juristic Representative (JR) under the FSP licence of Finova Capital (Pty) Ltd.</w:t>
      </w:r>
    </w:p>
    <w:p>
      <w:pPr>
        <w:spacing w:before="40" w:after="80"/>
      </w:pPr>
      <w:r>
        <w:rPr>
          <w:i w:val="0"/>
          <w:color w:val="1A1A1A"/>
          <w:sz w:val="20"/>
        </w:rPr>
        <w:t>The proprietary technology platform (BitWealth LTH PVR System) has been transferred to the Company's balance sheet at an agreed fair value of R2,500,000 (Two Million Five Hundred Thousand Rand), contributed by Davin Cloete as intellectual property consideration. The IP transfer agreement has been executed and the asset is recorded in the Company's books.</w:t>
      </w:r>
    </w:p>
    <w:p>
      <w:pPr>
        <w:spacing w:before="40" w:after="80"/>
      </w:pPr>
      <w:r>
        <w:rPr>
          <w:i/>
          <w:color w:val="555555"/>
          <w:sz w:val="18"/>
        </w:rPr>
        <w:t>The Company has authorised and issued 1,000 ordinary shares of R1.00 par value each. All issued shares carry equal voting rights, dividend rights, and rights upon winding-up. Davin Cloete currently holds all 1,000 issued shares.</w:t>
      </w:r>
    </w:p>
    <w:p>
      <w:pPr>
        <w:spacing w:before="80" w:after="80"/>
        <w:pBdr>
          <w:bottom w:val="single" w:sz="4" w:space="1" w:color="C9A227"/>
        </w:pBdr>
      </w:pPr>
    </w:p>
    <w:p>
      <w:pPr>
        <w:keepNext/>
        <w:spacing w:before="160" w:after="80"/>
      </w:pPr>
      <w:r>
        <w:rPr>
          <w:b/>
          <w:color w:val="1A1A1A"/>
          <w:sz w:val="22"/>
        </w:rPr>
        <w:t>Stage 0 — Current Shareholding (Pre-Signing)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A1A1A"/>
          </w:tcPr>
          <w:p>
            <w:pPr>
              <w:jc w:val="center"/>
            </w:pPr>
            <w:r/>
            <w:r>
              <w:rPr>
                <w:b/>
                <w:i w:val="0"/>
                <w:color w:val="FFFFFF"/>
                <w:sz w:val="18"/>
              </w:rPr>
              <w:t>Shareholder</w:t>
            </w:r>
          </w:p>
        </w:tc>
        <w:tc>
          <w:tcPr>
            <w:tcW w:type="dxa" w:w="1701"/>
            <w:shd w:val="clear" w:color="auto" w:fill="1A1A1A"/>
          </w:tcPr>
          <w:p>
            <w:pPr>
              <w:jc w:val="center"/>
            </w:pPr>
            <w:r/>
            <w:r>
              <w:rPr>
                <w:b/>
                <w:i w:val="0"/>
                <w:color w:val="FFFFFF"/>
                <w:sz w:val="18"/>
              </w:rPr>
              <w:t>Shares Held</w:t>
            </w:r>
          </w:p>
        </w:tc>
        <w:tc>
          <w:tcPr>
            <w:tcW w:type="dxa" w:w="1417"/>
            <w:shd w:val="clear" w:color="auto" w:fill="1A1A1A"/>
          </w:tcPr>
          <w:p>
            <w:pPr>
              <w:jc w:val="center"/>
            </w:pPr>
            <w:r/>
            <w:r>
              <w:rPr>
                <w:b/>
                <w:i w:val="0"/>
                <w:color w:val="FFFFFF"/>
                <w:sz w:val="18"/>
              </w:rPr>
              <w:t>% Holding</w:t>
            </w:r>
          </w:p>
        </w:tc>
        <w:tc>
          <w:tcPr>
            <w:tcW w:type="dxa" w:w="1417"/>
            <w:shd w:val="clear" w:color="auto" w:fill="1A1A1A"/>
          </w:tcPr>
          <w:p>
            <w:pPr>
              <w:jc w:val="center"/>
            </w:pPr>
            <w:r/>
            <w:r>
              <w:rPr>
                <w:b/>
                <w:i w:val="0"/>
                <w:color w:val="FFFFFF"/>
                <w:sz w:val="18"/>
              </w:rPr>
              <w:t>Change</w:t>
            </w:r>
          </w:p>
        </w:tc>
        <w:tc>
          <w:tcPr>
            <w:tcW w:type="dxa" w:w="2268"/>
            <w:shd w:val="clear" w:color="auto" w:fill="1A1A1A"/>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1,000</w:t>
            </w:r>
          </w:p>
        </w:tc>
        <w:tc>
          <w:tcPr>
            <w:tcW w:type="dxa" w:w="1417"/>
            <w:shd w:val="clear" w:color="auto" w:fill="FFFFFF"/>
          </w:tcPr>
          <w:p>
            <w:pPr>
              <w:jc w:val="center"/>
            </w:pPr>
            <w:r/>
            <w:r>
              <w:rPr>
                <w:b w:val="0"/>
                <w:i w:val="0"/>
                <w:color w:val="1A1A1A"/>
                <w:sz w:val="20"/>
              </w:rPr>
              <w:t>100%</w:t>
            </w:r>
          </w:p>
        </w:tc>
        <w:tc>
          <w:tcPr>
            <w:tcW w:type="dxa" w:w="1417"/>
            <w:shd w:val="clear" w:color="auto" w:fill="FFFFFF"/>
          </w:tcPr>
          <w:p>
            <w:pPr>
              <w:jc w:val="center"/>
            </w:pPr>
            <w:r/>
            <w:r>
              <w:rPr>
                <w:b w:val="0"/>
                <w:i w:val="0"/>
                <w:color w:val="1A1A1A"/>
                <w:sz w:val="20"/>
              </w:rPr>
              <w:t>—</w:t>
            </w:r>
          </w:p>
        </w:tc>
        <w:tc>
          <w:tcPr>
            <w:tcW w:type="dxa" w:w="2268"/>
            <w:shd w:val="clear" w:color="auto" w:fill="FFFFFF"/>
          </w:tcPr>
          <w:p>
            <w:r/>
            <w:r>
              <w:rPr>
                <w:b w:val="0"/>
                <w:i w:val="0"/>
                <w:color w:val="1A1A1A"/>
                <w:sz w:val="20"/>
              </w:rPr>
              <w:t>IP contributor; technology platform</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Nil</w:t>
            </w:r>
          </w:p>
        </w:tc>
        <w:tc>
          <w:tcPr>
            <w:tcW w:type="dxa" w:w="1417"/>
            <w:shd w:val="clear" w:color="auto" w:fill="F5F5F5"/>
          </w:tcPr>
          <w:p>
            <w:pPr>
              <w:jc w:val="center"/>
            </w:pPr>
            <w:r/>
            <w:r>
              <w:rPr>
                <w:b w:val="0"/>
                <w:i w:val="0"/>
                <w:color w:val="1A1A1A"/>
                <w:sz w:val="20"/>
              </w:rPr>
              <w:t>—</w:t>
            </w:r>
          </w:p>
        </w:tc>
        <w:tc>
          <w:tcPr>
            <w:tcW w:type="dxa" w:w="1417"/>
            <w:shd w:val="clear" w:color="auto" w:fill="F5F5F5"/>
          </w:tcPr>
          <w:p>
            <w:pPr>
              <w:jc w:val="center"/>
            </w:pPr>
            <w:r/>
            <w:r>
              <w:rPr>
                <w:b w:val="0"/>
                <w:i w:val="0"/>
                <w:color w:val="1A1A1A"/>
                <w:sz w:val="20"/>
              </w:rPr>
              <w:t>—</w:t>
            </w:r>
          </w:p>
        </w:tc>
        <w:tc>
          <w:tcPr>
            <w:tcW w:type="dxa" w:w="2268"/>
            <w:shd w:val="clear" w:color="auto" w:fill="F5F5F5"/>
          </w:tcPr>
          <w:p>
            <w:r/>
            <w:r>
              <w:rPr>
                <w:b w:val="0"/>
                <w:i w:val="0"/>
                <w:color w:val="1A1A1A"/>
                <w:sz w:val="20"/>
              </w:rPr>
              <w:t>Not yet a shareholder</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IP value R2,500,000 contributed by Davin Cloete and recorded on the balance sheet.</w:t>
      </w:r>
    </w:p>
    <w:p>
      <w:pPr>
        <w:keepNext/>
        <w:spacing w:before="160" w:after="80"/>
      </w:pPr>
      <w:r>
        <w:rPr>
          <w:b/>
          <w:color w:val="1A1A1A"/>
          <w:sz w:val="22"/>
        </w:rPr>
        <w:t>Stage 1 — On Signing (Initial Equity Grant)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006064"/>
          </w:tcPr>
          <w:p>
            <w:pPr>
              <w:jc w:val="center"/>
            </w:pPr>
            <w:r/>
            <w:r>
              <w:rPr>
                <w:b/>
                <w:i w:val="0"/>
                <w:color w:val="FFFFFF"/>
                <w:sz w:val="18"/>
              </w:rPr>
              <w:t>Shareholder</w:t>
            </w:r>
          </w:p>
        </w:tc>
        <w:tc>
          <w:tcPr>
            <w:tcW w:type="dxa" w:w="1701"/>
            <w:shd w:val="clear" w:color="auto" w:fill="006064"/>
          </w:tcPr>
          <w:p>
            <w:pPr>
              <w:jc w:val="center"/>
            </w:pPr>
            <w:r/>
            <w:r>
              <w:rPr>
                <w:b/>
                <w:i w:val="0"/>
                <w:color w:val="FFFFFF"/>
                <w:sz w:val="18"/>
              </w:rPr>
              <w:t>Shares Held</w:t>
            </w:r>
          </w:p>
        </w:tc>
        <w:tc>
          <w:tcPr>
            <w:tcW w:type="dxa" w:w="1417"/>
            <w:shd w:val="clear" w:color="auto" w:fill="006064"/>
          </w:tcPr>
          <w:p>
            <w:pPr>
              <w:jc w:val="center"/>
            </w:pPr>
            <w:r/>
            <w:r>
              <w:rPr>
                <w:b/>
                <w:i w:val="0"/>
                <w:color w:val="FFFFFF"/>
                <w:sz w:val="18"/>
              </w:rPr>
              <w:t>% Holding</w:t>
            </w:r>
          </w:p>
        </w:tc>
        <w:tc>
          <w:tcPr>
            <w:tcW w:type="dxa" w:w="1417"/>
            <w:shd w:val="clear" w:color="auto" w:fill="006064"/>
          </w:tcPr>
          <w:p>
            <w:pPr>
              <w:jc w:val="center"/>
            </w:pPr>
            <w:r/>
            <w:r>
              <w:rPr>
                <w:b/>
                <w:i w:val="0"/>
                <w:color w:val="FFFFFF"/>
                <w:sz w:val="18"/>
              </w:rPr>
              <w:t>Change</w:t>
            </w:r>
          </w:p>
        </w:tc>
        <w:tc>
          <w:tcPr>
            <w:tcW w:type="dxa" w:w="2268"/>
            <w:shd w:val="clear" w:color="auto" w:fill="006064"/>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900</w:t>
            </w:r>
          </w:p>
        </w:tc>
        <w:tc>
          <w:tcPr>
            <w:tcW w:type="dxa" w:w="1417"/>
            <w:shd w:val="clear" w:color="auto" w:fill="FFFFFF"/>
          </w:tcPr>
          <w:p>
            <w:pPr>
              <w:jc w:val="center"/>
            </w:pPr>
            <w:r/>
            <w:r>
              <w:rPr>
                <w:b w:val="0"/>
                <w:i w:val="0"/>
                <w:color w:val="1A1A1A"/>
                <w:sz w:val="20"/>
              </w:rPr>
              <w:t>90%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Technology, strategy, capital</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100</w:t>
            </w:r>
          </w:p>
        </w:tc>
        <w:tc>
          <w:tcPr>
            <w:tcW w:type="dxa" w:w="1417"/>
            <w:shd w:val="clear" w:color="auto" w:fill="F5F5F5"/>
          </w:tcPr>
          <w:p>
            <w:pPr>
              <w:jc w:val="center"/>
            </w:pPr>
            <w:r/>
            <w:r>
              <w:rPr>
                <w:b w:val="0"/>
                <w:i w:val="0"/>
                <w:color w:val="1A1A1A"/>
                <w:sz w:val="20"/>
              </w:rPr>
              <w:t>10%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Business development / client acquisition</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Simon's 10% is issued for no monetary consideration (sweat equity). Notional value at IP-implied share price: R250,000.</w:t>
      </w:r>
    </w:p>
    <w:p>
      <w:pPr>
        <w:keepNext/>
        <w:spacing w:before="160" w:after="80"/>
      </w:pPr>
      <w:r>
        <w:rPr>
          <w:b/>
          <w:color w:val="1A1A1A"/>
          <w:sz w:val="22"/>
        </w:rPr>
        <w:t>Stage 2 — Post Milestone 1  (R50m AUM achieved within 24 months of 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B5E20"/>
          </w:tcPr>
          <w:p>
            <w:pPr>
              <w:jc w:val="center"/>
            </w:pPr>
            <w:r/>
            <w:r>
              <w:rPr>
                <w:b/>
                <w:i w:val="0"/>
                <w:color w:val="FFFFFF"/>
                <w:sz w:val="18"/>
              </w:rPr>
              <w:t>Shareholder</w:t>
            </w:r>
          </w:p>
        </w:tc>
        <w:tc>
          <w:tcPr>
            <w:tcW w:type="dxa" w:w="1701"/>
            <w:shd w:val="clear" w:color="auto" w:fill="1B5E20"/>
          </w:tcPr>
          <w:p>
            <w:pPr>
              <w:jc w:val="center"/>
            </w:pPr>
            <w:r/>
            <w:r>
              <w:rPr>
                <w:b/>
                <w:i w:val="0"/>
                <w:color w:val="FFFFFF"/>
                <w:sz w:val="18"/>
              </w:rPr>
              <w:t>Shares Held</w:t>
            </w:r>
          </w:p>
        </w:tc>
        <w:tc>
          <w:tcPr>
            <w:tcW w:type="dxa" w:w="1417"/>
            <w:shd w:val="clear" w:color="auto" w:fill="1B5E20"/>
          </w:tcPr>
          <w:p>
            <w:pPr>
              <w:jc w:val="center"/>
            </w:pPr>
            <w:r/>
            <w:r>
              <w:rPr>
                <w:b/>
                <w:i w:val="0"/>
                <w:color w:val="FFFFFF"/>
                <w:sz w:val="18"/>
              </w:rPr>
              <w:t>% Holding</w:t>
            </w:r>
          </w:p>
        </w:tc>
        <w:tc>
          <w:tcPr>
            <w:tcW w:type="dxa" w:w="1417"/>
            <w:shd w:val="clear" w:color="auto" w:fill="1B5E20"/>
          </w:tcPr>
          <w:p>
            <w:pPr>
              <w:jc w:val="center"/>
            </w:pPr>
            <w:r/>
            <w:r>
              <w:rPr>
                <w:b/>
                <w:i w:val="0"/>
                <w:color w:val="FFFFFF"/>
                <w:sz w:val="18"/>
              </w:rPr>
              <w:t>Change</w:t>
            </w:r>
          </w:p>
        </w:tc>
        <w:tc>
          <w:tcPr>
            <w:tcW w:type="dxa" w:w="2268"/>
            <w:shd w:val="clear" w:color="auto" w:fill="1B5E20"/>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800</w:t>
            </w:r>
          </w:p>
        </w:tc>
        <w:tc>
          <w:tcPr>
            <w:tcW w:type="dxa" w:w="1417"/>
            <w:shd w:val="clear" w:color="auto" w:fill="FFFFFF"/>
          </w:tcPr>
          <w:p>
            <w:pPr>
              <w:jc w:val="center"/>
            </w:pPr>
            <w:r/>
            <w:r>
              <w:rPr>
                <w:b w:val="0"/>
                <w:i w:val="0"/>
                <w:color w:val="1A1A1A"/>
                <w:sz w:val="20"/>
              </w:rPr>
              <w:t>80%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Transfers from own holding</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200</w:t>
            </w:r>
          </w:p>
        </w:tc>
        <w:tc>
          <w:tcPr>
            <w:tcW w:type="dxa" w:w="1417"/>
            <w:shd w:val="clear" w:color="auto" w:fill="F5F5F5"/>
          </w:tcPr>
          <w:p>
            <w:pPr>
              <w:jc w:val="center"/>
            </w:pPr>
            <w:r/>
            <w:r>
              <w:rPr>
                <w:b w:val="0"/>
                <w:i w:val="0"/>
                <w:color w:val="1A1A1A"/>
                <w:sz w:val="20"/>
              </w:rPr>
              <w:t>20%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Tranche 1 earned</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Tranche 1: 100 shares transfer from Davin to Simon on verified AUM ≥ R50m.</w:t>
      </w:r>
    </w:p>
    <w:p>
      <w:pPr>
        <w:keepNext/>
        <w:spacing w:before="160" w:after="80"/>
      </w:pPr>
      <w:r>
        <w:rPr>
          <w:b/>
          <w:color w:val="1A1A1A"/>
          <w:sz w:val="22"/>
        </w:rPr>
        <w:t>Stage 3 — Post Milestone 2  (R100m AUM achieved within 48 months of 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B5E20"/>
          </w:tcPr>
          <w:p>
            <w:pPr>
              <w:jc w:val="center"/>
            </w:pPr>
            <w:r/>
            <w:r>
              <w:rPr>
                <w:b/>
                <w:i w:val="0"/>
                <w:color w:val="FFFFFF"/>
                <w:sz w:val="18"/>
              </w:rPr>
              <w:t>Shareholder</w:t>
            </w:r>
          </w:p>
        </w:tc>
        <w:tc>
          <w:tcPr>
            <w:tcW w:type="dxa" w:w="1701"/>
            <w:shd w:val="clear" w:color="auto" w:fill="1B5E20"/>
          </w:tcPr>
          <w:p>
            <w:pPr>
              <w:jc w:val="center"/>
            </w:pPr>
            <w:r/>
            <w:r>
              <w:rPr>
                <w:b/>
                <w:i w:val="0"/>
                <w:color w:val="FFFFFF"/>
                <w:sz w:val="18"/>
              </w:rPr>
              <w:t>Shares Held</w:t>
            </w:r>
          </w:p>
        </w:tc>
        <w:tc>
          <w:tcPr>
            <w:tcW w:type="dxa" w:w="1417"/>
            <w:shd w:val="clear" w:color="auto" w:fill="1B5E20"/>
          </w:tcPr>
          <w:p>
            <w:pPr>
              <w:jc w:val="center"/>
            </w:pPr>
            <w:r/>
            <w:r>
              <w:rPr>
                <w:b/>
                <w:i w:val="0"/>
                <w:color w:val="FFFFFF"/>
                <w:sz w:val="18"/>
              </w:rPr>
              <w:t>% Holding</w:t>
            </w:r>
          </w:p>
        </w:tc>
        <w:tc>
          <w:tcPr>
            <w:tcW w:type="dxa" w:w="1417"/>
            <w:shd w:val="clear" w:color="auto" w:fill="1B5E20"/>
          </w:tcPr>
          <w:p>
            <w:pPr>
              <w:jc w:val="center"/>
            </w:pPr>
            <w:r/>
            <w:r>
              <w:rPr>
                <w:b/>
                <w:i w:val="0"/>
                <w:color w:val="FFFFFF"/>
                <w:sz w:val="18"/>
              </w:rPr>
              <w:t>Change</w:t>
            </w:r>
          </w:p>
        </w:tc>
        <w:tc>
          <w:tcPr>
            <w:tcW w:type="dxa" w:w="2268"/>
            <w:shd w:val="clear" w:color="auto" w:fill="1B5E20"/>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700</w:t>
            </w:r>
          </w:p>
        </w:tc>
        <w:tc>
          <w:tcPr>
            <w:tcW w:type="dxa" w:w="1417"/>
            <w:shd w:val="clear" w:color="auto" w:fill="FFFFFF"/>
          </w:tcPr>
          <w:p>
            <w:pPr>
              <w:jc w:val="center"/>
            </w:pPr>
            <w:r/>
            <w:r>
              <w:rPr>
                <w:b w:val="0"/>
                <w:i w:val="0"/>
                <w:color w:val="1A1A1A"/>
                <w:sz w:val="20"/>
              </w:rPr>
              <w:t>70%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Transfers from own holding</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300</w:t>
            </w:r>
          </w:p>
        </w:tc>
        <w:tc>
          <w:tcPr>
            <w:tcW w:type="dxa" w:w="1417"/>
            <w:shd w:val="clear" w:color="auto" w:fill="F5F5F5"/>
          </w:tcPr>
          <w:p>
            <w:pPr>
              <w:jc w:val="center"/>
            </w:pPr>
            <w:r/>
            <w:r>
              <w:rPr>
                <w:b w:val="0"/>
                <w:i w:val="0"/>
                <w:color w:val="1A1A1A"/>
                <w:sz w:val="20"/>
              </w:rPr>
              <w:t>30%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Tranche 2 earned</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Tranche 2: 100 shares transfer on verified AUM ≥ R100m.</w:t>
      </w:r>
    </w:p>
    <w:p>
      <w:pPr>
        <w:keepNext/>
        <w:spacing w:before="160" w:after="80"/>
      </w:pPr>
      <w:r>
        <w:rPr>
          <w:b/>
          <w:color w:val="1A1A1A"/>
          <w:sz w:val="22"/>
        </w:rPr>
        <w:t>Stage 4 — Post Milestone 3  (R200m AUM achieved within 72 months of signing)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C9A227"/>
          </w:tcPr>
          <w:p>
            <w:pPr>
              <w:jc w:val="center"/>
            </w:pPr>
            <w:r/>
            <w:r>
              <w:rPr>
                <w:b/>
                <w:i w:val="0"/>
                <w:color w:val="FFFFFF"/>
                <w:sz w:val="18"/>
              </w:rPr>
              <w:t>Shareholder</w:t>
            </w:r>
          </w:p>
        </w:tc>
        <w:tc>
          <w:tcPr>
            <w:tcW w:type="dxa" w:w="1701"/>
            <w:shd w:val="clear" w:color="auto" w:fill="C9A227"/>
          </w:tcPr>
          <w:p>
            <w:pPr>
              <w:jc w:val="center"/>
            </w:pPr>
            <w:r/>
            <w:r>
              <w:rPr>
                <w:b/>
                <w:i w:val="0"/>
                <w:color w:val="FFFFFF"/>
                <w:sz w:val="18"/>
              </w:rPr>
              <w:t>Shares Held</w:t>
            </w:r>
          </w:p>
        </w:tc>
        <w:tc>
          <w:tcPr>
            <w:tcW w:type="dxa" w:w="1417"/>
            <w:shd w:val="clear" w:color="auto" w:fill="C9A227"/>
          </w:tcPr>
          <w:p>
            <w:pPr>
              <w:jc w:val="center"/>
            </w:pPr>
            <w:r/>
            <w:r>
              <w:rPr>
                <w:b/>
                <w:i w:val="0"/>
                <w:color w:val="FFFFFF"/>
                <w:sz w:val="18"/>
              </w:rPr>
              <w:t>% Holding</w:t>
            </w:r>
          </w:p>
        </w:tc>
        <w:tc>
          <w:tcPr>
            <w:tcW w:type="dxa" w:w="1417"/>
            <w:shd w:val="clear" w:color="auto" w:fill="C9A227"/>
          </w:tcPr>
          <w:p>
            <w:pPr>
              <w:jc w:val="center"/>
            </w:pPr>
            <w:r/>
            <w:r>
              <w:rPr>
                <w:b/>
                <w:i w:val="0"/>
                <w:color w:val="FFFFFF"/>
                <w:sz w:val="18"/>
              </w:rPr>
              <w:t>Change</w:t>
            </w:r>
          </w:p>
        </w:tc>
        <w:tc>
          <w:tcPr>
            <w:tcW w:type="dxa" w:w="2268"/>
            <w:shd w:val="clear" w:color="auto" w:fill="C9A227"/>
          </w:tcPr>
          <w:p>
            <w:pPr>
              <w:jc w:val="center"/>
            </w:pPr>
            <w:r/>
            <w:r>
              <w:rPr>
                <w:b/>
                <w:i w:val="0"/>
                <w:color w:val="FFFFFF"/>
                <w:sz w:val="18"/>
              </w:rPr>
              <w:t>Notes</w:t>
            </w:r>
          </w:p>
        </w:tc>
      </w:tr>
      <w:tr>
        <w:tc>
          <w:tcPr>
            <w:tcW w:type="dxa" w:w="3118"/>
            <w:shd w:val="clear" w:color="auto" w:fill="FFFFFF"/>
          </w:tcPr>
          <w:p>
            <w:r/>
            <w:r>
              <w:rPr>
                <w:b w:val="0"/>
                <w:i w:val="0"/>
                <w:color w:val="1A1A1A"/>
                <w:sz w:val="20"/>
              </w:rPr>
              <w:t>Davin Cloete (Founder)</w:t>
            </w:r>
          </w:p>
        </w:tc>
        <w:tc>
          <w:tcPr>
            <w:tcW w:type="dxa" w:w="1701"/>
            <w:shd w:val="clear" w:color="auto" w:fill="FFFFFF"/>
          </w:tcPr>
          <w:p>
            <w:pPr>
              <w:jc w:val="center"/>
            </w:pPr>
            <w:r/>
            <w:r>
              <w:rPr>
                <w:b w:val="0"/>
                <w:i w:val="0"/>
                <w:color w:val="1A1A1A"/>
                <w:sz w:val="20"/>
              </w:rPr>
              <w:t>600</w:t>
            </w:r>
          </w:p>
        </w:tc>
        <w:tc>
          <w:tcPr>
            <w:tcW w:type="dxa" w:w="1417"/>
            <w:shd w:val="clear" w:color="auto" w:fill="FFFFFF"/>
          </w:tcPr>
          <w:p>
            <w:pPr>
              <w:jc w:val="center"/>
            </w:pPr>
            <w:r/>
            <w:r>
              <w:rPr>
                <w:b w:val="0"/>
                <w:i w:val="0"/>
                <w:color w:val="1A1A1A"/>
                <w:sz w:val="20"/>
              </w:rPr>
              <w:t>60%</w:t>
            </w:r>
          </w:p>
        </w:tc>
        <w:tc>
          <w:tcPr>
            <w:tcW w:type="dxa" w:w="1417"/>
            <w:shd w:val="clear" w:color="auto" w:fill="FFFFFF"/>
          </w:tcPr>
          <w:p>
            <w:pPr>
              <w:jc w:val="center"/>
            </w:pPr>
            <w:r/>
            <w:r>
              <w:rPr>
                <w:b w:val="0"/>
                <w:i w:val="0"/>
                <w:color w:val="1A1A1A"/>
                <w:sz w:val="20"/>
              </w:rPr>
              <w:t>−100 shares</w:t>
            </w:r>
          </w:p>
        </w:tc>
        <w:tc>
          <w:tcPr>
            <w:tcW w:type="dxa" w:w="2268"/>
            <w:shd w:val="clear" w:color="auto" w:fill="FFFFFF"/>
          </w:tcPr>
          <w:p>
            <w:r/>
            <w:r>
              <w:rPr>
                <w:b w:val="0"/>
                <w:i w:val="0"/>
                <w:color w:val="1A1A1A"/>
                <w:sz w:val="20"/>
              </w:rPr>
              <w:t>Final position if all milestones met</w:t>
            </w:r>
          </w:p>
        </w:tc>
      </w:tr>
      <w:tr>
        <w:tc>
          <w:tcPr>
            <w:tcW w:type="dxa" w:w="3118"/>
            <w:shd w:val="clear" w:color="auto" w:fill="F5F5F5"/>
          </w:tcPr>
          <w:p>
            <w:r/>
            <w:r>
              <w:rPr>
                <w:b w:val="0"/>
                <w:i w:val="0"/>
                <w:color w:val="1A1A1A"/>
                <w:sz w:val="20"/>
              </w:rPr>
              <w:t>Simon Hobday</w:t>
            </w:r>
          </w:p>
        </w:tc>
        <w:tc>
          <w:tcPr>
            <w:tcW w:type="dxa" w:w="1701"/>
            <w:shd w:val="clear" w:color="auto" w:fill="F5F5F5"/>
          </w:tcPr>
          <w:p>
            <w:pPr>
              <w:jc w:val="center"/>
            </w:pPr>
            <w:r/>
            <w:r>
              <w:rPr>
                <w:b w:val="0"/>
                <w:i w:val="0"/>
                <w:color w:val="1A1A1A"/>
                <w:sz w:val="20"/>
              </w:rPr>
              <w:t>400</w:t>
            </w:r>
          </w:p>
        </w:tc>
        <w:tc>
          <w:tcPr>
            <w:tcW w:type="dxa" w:w="1417"/>
            <w:shd w:val="clear" w:color="auto" w:fill="F5F5F5"/>
          </w:tcPr>
          <w:p>
            <w:pPr>
              <w:jc w:val="center"/>
            </w:pPr>
            <w:r/>
            <w:r>
              <w:rPr>
                <w:b w:val="0"/>
                <w:i w:val="0"/>
                <w:color w:val="1A1A1A"/>
                <w:sz w:val="20"/>
              </w:rPr>
              <w:t>40%</w:t>
            </w:r>
          </w:p>
        </w:tc>
        <w:tc>
          <w:tcPr>
            <w:tcW w:type="dxa" w:w="1417"/>
            <w:shd w:val="clear" w:color="auto" w:fill="F5F5F5"/>
          </w:tcPr>
          <w:p>
            <w:pPr>
              <w:jc w:val="center"/>
            </w:pPr>
            <w:r/>
            <w:r>
              <w:rPr>
                <w:b w:val="0"/>
                <w:i w:val="0"/>
                <w:color w:val="1A1A1A"/>
                <w:sz w:val="20"/>
              </w:rPr>
              <w:t>+100 shares</w:t>
            </w:r>
          </w:p>
        </w:tc>
        <w:tc>
          <w:tcPr>
            <w:tcW w:type="dxa" w:w="2268"/>
            <w:shd w:val="clear" w:color="auto" w:fill="F5F5F5"/>
          </w:tcPr>
          <w:p>
            <w:r/>
            <w:r>
              <w:rPr>
                <w:b w:val="0"/>
                <w:i w:val="0"/>
                <w:color w:val="1A1A1A"/>
                <w:sz w:val="20"/>
              </w:rPr>
              <w:t>Tranche 3 earned — maximum earn-in reached</w:t>
            </w:r>
          </w:p>
        </w:tc>
      </w:tr>
      <w:tr>
        <w:tc>
          <w:tcPr>
            <w:tcW w:type="dxa" w:w="3118"/>
            <w:shd w:val="clear" w:color="auto" w:fill="F5EBC8"/>
          </w:tcPr>
          <w:p>
            <w:r/>
            <w:r>
              <w:rPr>
                <w:b/>
                <w:i w:val="0"/>
                <w:color w:val="1A1A1A"/>
                <w:sz w:val="20"/>
              </w:rPr>
              <w:t>TOTAL</w:t>
            </w:r>
          </w:p>
        </w:tc>
        <w:tc>
          <w:tcPr>
            <w:tcW w:type="dxa" w:w="1701"/>
            <w:shd w:val="clear" w:color="auto" w:fill="F5EBC8"/>
          </w:tcPr>
          <w:p>
            <w:pPr>
              <w:jc w:val="center"/>
            </w:pPr>
            <w:r/>
            <w:r>
              <w:rPr>
                <w:b/>
                <w:i w:val="0"/>
                <w:color w:val="1A1A1A"/>
                <w:sz w:val="20"/>
              </w:rPr>
              <w:t>1,000</w:t>
            </w:r>
          </w:p>
        </w:tc>
        <w:tc>
          <w:tcPr>
            <w:tcW w:type="dxa" w:w="1417"/>
            <w:shd w:val="clear" w:color="auto" w:fill="F5EBC8"/>
          </w:tcPr>
          <w:p>
            <w:pPr>
              <w:jc w:val="center"/>
            </w:pPr>
            <w:r/>
            <w:r>
              <w:rPr>
                <w:b/>
                <w:i w:val="0"/>
                <w:color w:val="1A1A1A"/>
                <w:sz w:val="20"/>
              </w:rPr>
              <w:t>100%</w:t>
            </w:r>
          </w:p>
        </w:tc>
        <w:tc>
          <w:tcPr>
            <w:tcW w:type="dxa" w:w="1417"/>
            <w:shd w:val="clear" w:color="auto" w:fill="F5EBC8"/>
          </w:tcPr>
          <w:p>
            <w:pPr>
              <w:jc w:val="center"/>
            </w:pPr>
            <w:r/>
            <w:r>
              <w:rPr>
                <w:b/>
                <w:i w:val="0"/>
                <w:color w:val="1A1A1A"/>
                <w:sz w:val="20"/>
              </w:rPr>
              <w:t>—</w:t>
            </w:r>
          </w:p>
        </w:tc>
        <w:tc>
          <w:tcPr>
            <w:tcW w:type="dxa" w:w="2268"/>
            <w:shd w:val="clear" w:color="auto" w:fill="F5EBC8"/>
          </w:tcPr>
          <w:p>
            <w:r/>
            <w:r>
              <w:rPr>
                <w:b/>
                <w:i w:val="0"/>
                <w:color w:val="1A1A1A"/>
                <w:sz w:val="20"/>
              </w:rPr>
            </w:r>
          </w:p>
        </w:tc>
      </w:tr>
    </w:tbl>
    <w:p>
      <w:pPr>
        <w:spacing w:before="40" w:after="160"/>
      </w:pPr>
      <w:r>
        <w:rPr>
          <w:i/>
          <w:color w:val="555555"/>
          <w:sz w:val="18"/>
        </w:rPr>
        <w:t>★  Full earn-in: Simon holds 40% on achievement of all three milestones.</w:t>
      </w:r>
    </w:p>
    <w:p>
      <w:pPr>
        <w:spacing w:before="80" w:after="80"/>
        <w:pBdr>
          <w:bottom w:val="single" w:sz="4" w:space="1" w:color="C9A227"/>
        </w:pBdr>
      </w:pPr>
    </w:p>
    <w:p>
      <w:pPr>
        <w:keepNext/>
        <w:spacing w:before="160" w:after="80"/>
      </w:pPr>
      <w:r>
        <w:rPr>
          <w:b/>
          <w:color w:val="1A1A1A"/>
          <w:sz w:val="22"/>
        </w:rPr>
        <w:t>2.  Milestone Lapse Scenarios</w:t>
      </w:r>
    </w:p>
    <w:p>
      <w:pPr>
        <w:spacing w:before="40" w:after="80"/>
      </w:pPr>
      <w:r>
        <w:rPr>
          <w:i w:val="0"/>
          <w:color w:val="1A1A1A"/>
          <w:sz w:val="20"/>
        </w:rPr>
        <w:t>The table below shows the resulting shareholding for each combination of milestone outcomes. Each tranche is independent — missing one milestone does not automatically prevent earning a later tranche, provided the later milestone is achieved within its own 24-month window.</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17"/>
            <w:shd w:val="clear" w:color="auto" w:fill="006064"/>
          </w:tcPr>
          <w:p>
            <w:pPr>
              <w:jc w:val="center"/>
            </w:pPr>
            <w:r/>
            <w:r>
              <w:rPr>
                <w:b/>
                <w:i w:val="0"/>
                <w:color w:val="FFFFFF"/>
                <w:sz w:val="18"/>
              </w:rPr>
              <w:t>M1 (R50m)</w:t>
            </w:r>
          </w:p>
        </w:tc>
        <w:tc>
          <w:tcPr>
            <w:tcW w:type="dxa" w:w="1417"/>
            <w:shd w:val="clear" w:color="auto" w:fill="006064"/>
          </w:tcPr>
          <w:p>
            <w:pPr>
              <w:jc w:val="center"/>
            </w:pPr>
            <w:r/>
            <w:r>
              <w:rPr>
                <w:b/>
                <w:i w:val="0"/>
                <w:color w:val="FFFFFF"/>
                <w:sz w:val="18"/>
              </w:rPr>
              <w:t>M2 (R100m)</w:t>
            </w:r>
          </w:p>
        </w:tc>
        <w:tc>
          <w:tcPr>
            <w:tcW w:type="dxa" w:w="1417"/>
            <w:shd w:val="clear" w:color="auto" w:fill="006064"/>
          </w:tcPr>
          <w:p>
            <w:pPr>
              <w:jc w:val="center"/>
            </w:pPr>
            <w:r/>
            <w:r>
              <w:rPr>
                <w:b/>
                <w:i w:val="0"/>
                <w:color w:val="FFFFFF"/>
                <w:sz w:val="18"/>
              </w:rPr>
              <w:t>M3 (R200m)</w:t>
            </w:r>
          </w:p>
        </w:tc>
        <w:tc>
          <w:tcPr>
            <w:tcW w:type="dxa" w:w="1134"/>
            <w:shd w:val="clear" w:color="auto" w:fill="006064"/>
          </w:tcPr>
          <w:p>
            <w:pPr>
              <w:jc w:val="center"/>
            </w:pPr>
            <w:r/>
            <w:r>
              <w:rPr>
                <w:b/>
                <w:i w:val="0"/>
                <w:color w:val="FFFFFF"/>
                <w:sz w:val="18"/>
              </w:rPr>
              <w:t>Davin</w:t>
            </w:r>
          </w:p>
        </w:tc>
        <w:tc>
          <w:tcPr>
            <w:tcW w:type="dxa" w:w="1134"/>
            <w:shd w:val="clear" w:color="auto" w:fill="006064"/>
          </w:tcPr>
          <w:p>
            <w:pPr>
              <w:jc w:val="center"/>
            </w:pPr>
            <w:r/>
            <w:r>
              <w:rPr>
                <w:b/>
                <w:i w:val="0"/>
                <w:color w:val="FFFFFF"/>
                <w:sz w:val="18"/>
              </w:rPr>
              <w:t>Simon</w:t>
            </w:r>
          </w:p>
        </w:tc>
        <w:tc>
          <w:tcPr>
            <w:tcW w:type="dxa" w:w="2551"/>
            <w:shd w:val="clear" w:color="auto" w:fill="006064"/>
          </w:tcPr>
          <w:p>
            <w:pPr>
              <w:jc w:val="center"/>
            </w:pPr>
            <w:r/>
            <w:r>
              <w:rPr>
                <w:b/>
                <w:i w:val="0"/>
                <w:color w:val="FFFFFF"/>
                <w:sz w:val="18"/>
              </w:rPr>
              <w:t>Outcome</w:t>
            </w:r>
          </w:p>
        </w:tc>
      </w:tr>
      <w:tr>
        <w:tc>
          <w:tcPr>
            <w:tcW w:type="dxa" w:w="1417"/>
            <w:shd w:val="clear" w:color="auto" w:fill="F5EBC8"/>
          </w:tcPr>
          <w:p>
            <w:pPr>
              <w:jc w:val="center"/>
            </w:pPr>
            <w:r/>
            <w:r>
              <w:rPr>
                <w:b w:val="0"/>
                <w:i w:val="0"/>
                <w:color w:val="1B5E20"/>
                <w:sz w:val="18"/>
              </w:rPr>
              <w:t>✓ Earned</w:t>
            </w:r>
          </w:p>
        </w:tc>
        <w:tc>
          <w:tcPr>
            <w:tcW w:type="dxa" w:w="1417"/>
            <w:shd w:val="clear" w:color="auto" w:fill="F5EBC8"/>
          </w:tcPr>
          <w:p>
            <w:pPr>
              <w:jc w:val="center"/>
            </w:pPr>
            <w:r/>
            <w:r>
              <w:rPr>
                <w:b w:val="0"/>
                <w:i w:val="0"/>
                <w:color w:val="1B5E20"/>
                <w:sz w:val="18"/>
              </w:rPr>
              <w:t>✓ Earned</w:t>
            </w:r>
          </w:p>
        </w:tc>
        <w:tc>
          <w:tcPr>
            <w:tcW w:type="dxa" w:w="1417"/>
            <w:shd w:val="clear" w:color="auto" w:fill="F5EBC8"/>
          </w:tcPr>
          <w:p>
            <w:pPr>
              <w:jc w:val="center"/>
            </w:pPr>
            <w:r/>
            <w:r>
              <w:rPr>
                <w:b w:val="0"/>
                <w:i w:val="0"/>
                <w:color w:val="1B5E20"/>
                <w:sz w:val="18"/>
              </w:rPr>
              <w:t>✓ Earned</w:t>
            </w:r>
          </w:p>
        </w:tc>
        <w:tc>
          <w:tcPr>
            <w:tcW w:type="dxa" w:w="1134"/>
            <w:shd w:val="clear" w:color="auto" w:fill="F5EBC8"/>
          </w:tcPr>
          <w:p>
            <w:pPr>
              <w:jc w:val="center"/>
            </w:pPr>
            <w:r/>
            <w:r>
              <w:rPr>
                <w:b/>
                <w:i w:val="0"/>
                <w:color w:val="1A1A1A"/>
                <w:sz w:val="18"/>
              </w:rPr>
              <w:t>60%</w:t>
            </w:r>
          </w:p>
        </w:tc>
        <w:tc>
          <w:tcPr>
            <w:tcW w:type="dxa" w:w="1134"/>
            <w:shd w:val="clear" w:color="auto" w:fill="F5EBC8"/>
          </w:tcPr>
          <w:p>
            <w:pPr>
              <w:jc w:val="center"/>
            </w:pPr>
            <w:r/>
            <w:r>
              <w:rPr>
                <w:b/>
                <w:i w:val="0"/>
                <w:color w:val="1A1A1A"/>
                <w:sz w:val="18"/>
              </w:rPr>
              <w:t>40%</w:t>
            </w:r>
          </w:p>
        </w:tc>
        <w:tc>
          <w:tcPr>
            <w:tcW w:type="dxa" w:w="2551"/>
            <w:shd w:val="clear" w:color="auto" w:fill="F5EBC8"/>
          </w:tcPr>
          <w:p>
            <w:pPr>
              <w:jc w:val="center"/>
            </w:pPr>
            <w:r/>
            <w:r>
              <w:rPr>
                <w:b w:val="0"/>
                <w:i w:val="0"/>
                <w:color w:val="1A1A1A"/>
                <w:sz w:val="18"/>
              </w:rPr>
              <w:t>Best case — full earn-in</w:t>
            </w:r>
          </w:p>
        </w:tc>
      </w:tr>
      <w:tr>
        <w:tc>
          <w:tcPr>
            <w:tcW w:type="dxa" w:w="1417"/>
            <w:shd w:val="clear" w:color="auto" w:fill="F5F5F5"/>
          </w:tcPr>
          <w:p>
            <w:pPr>
              <w:jc w:val="center"/>
            </w:pPr>
            <w:r/>
            <w:r>
              <w:rPr>
                <w:b w:val="0"/>
                <w:i w:val="0"/>
                <w:color w:val="1B5E20"/>
                <w:sz w:val="18"/>
              </w:rPr>
              <w:t>✓ Earned</w:t>
            </w:r>
          </w:p>
        </w:tc>
        <w:tc>
          <w:tcPr>
            <w:tcW w:type="dxa" w:w="1417"/>
            <w:shd w:val="clear" w:color="auto" w:fill="F5F5F5"/>
          </w:tcPr>
          <w:p>
            <w:pPr>
              <w:jc w:val="center"/>
            </w:pPr>
            <w:r/>
            <w:r>
              <w:rPr>
                <w:b w:val="0"/>
                <w:i w:val="0"/>
                <w:color w:val="1B5E20"/>
                <w:sz w:val="18"/>
              </w:rPr>
              <w:t>✓ Earned</w:t>
            </w:r>
          </w:p>
        </w:tc>
        <w:tc>
          <w:tcPr>
            <w:tcW w:type="dxa" w:w="1417"/>
            <w:shd w:val="clear" w:color="auto" w:fill="F5F5F5"/>
          </w:tcPr>
          <w:p>
            <w:pPr>
              <w:jc w:val="center"/>
            </w:pPr>
            <w:r/>
            <w:r>
              <w:rPr>
                <w:b w:val="0"/>
                <w:i w:val="0"/>
                <w:color w:val="B71C1C"/>
                <w:sz w:val="18"/>
              </w:rPr>
              <w:t>✗ Lapsed</w:t>
            </w:r>
          </w:p>
        </w:tc>
        <w:tc>
          <w:tcPr>
            <w:tcW w:type="dxa" w:w="1134"/>
            <w:shd w:val="clear" w:color="auto" w:fill="F5F5F5"/>
          </w:tcPr>
          <w:p>
            <w:pPr>
              <w:jc w:val="center"/>
            </w:pPr>
            <w:r/>
            <w:r>
              <w:rPr>
                <w:b/>
                <w:i w:val="0"/>
                <w:color w:val="1A1A1A"/>
                <w:sz w:val="18"/>
              </w:rPr>
              <w:t>70%</w:t>
            </w:r>
          </w:p>
        </w:tc>
        <w:tc>
          <w:tcPr>
            <w:tcW w:type="dxa" w:w="1134"/>
            <w:shd w:val="clear" w:color="auto" w:fill="F5F5F5"/>
          </w:tcPr>
          <w:p>
            <w:pPr>
              <w:jc w:val="center"/>
            </w:pPr>
            <w:r/>
            <w:r>
              <w:rPr>
                <w:b/>
                <w:i w:val="0"/>
                <w:color w:val="1A1A1A"/>
                <w:sz w:val="18"/>
              </w:rPr>
              <w:t>30%</w:t>
            </w:r>
          </w:p>
        </w:tc>
        <w:tc>
          <w:tcPr>
            <w:tcW w:type="dxa" w:w="2551"/>
            <w:shd w:val="clear" w:color="auto" w:fill="F5F5F5"/>
          </w:tcPr>
          <w:p>
            <w:pPr>
              <w:jc w:val="center"/>
            </w:pPr>
            <w:r/>
            <w:r>
              <w:rPr>
                <w:b w:val="0"/>
                <w:i w:val="0"/>
                <w:color w:val="1A1A1A"/>
                <w:sz w:val="18"/>
              </w:rPr>
              <w:t>M3 missed or lapsed</w:t>
            </w:r>
          </w:p>
        </w:tc>
      </w:tr>
      <w:tr>
        <w:tc>
          <w:tcPr>
            <w:tcW w:type="dxa" w:w="1417"/>
            <w:shd w:val="clear" w:color="auto" w:fill="FFFFFF"/>
          </w:tcPr>
          <w:p>
            <w:pPr>
              <w:jc w:val="center"/>
            </w:pPr>
            <w:r/>
            <w:r>
              <w:rPr>
                <w:b w:val="0"/>
                <w:i w:val="0"/>
                <w:color w:val="1B5E20"/>
                <w:sz w:val="18"/>
              </w:rPr>
              <w:t>✓ Earned</w:t>
            </w:r>
          </w:p>
        </w:tc>
        <w:tc>
          <w:tcPr>
            <w:tcW w:type="dxa" w:w="1417"/>
            <w:shd w:val="clear" w:color="auto" w:fill="FFFFFF"/>
          </w:tcPr>
          <w:p>
            <w:pPr>
              <w:jc w:val="center"/>
            </w:pPr>
            <w:r/>
            <w:r>
              <w:rPr>
                <w:b w:val="0"/>
                <w:i w:val="0"/>
                <w:color w:val="B71C1C"/>
                <w:sz w:val="18"/>
              </w:rPr>
              <w:t>✗ Lapsed</w:t>
            </w:r>
          </w:p>
        </w:tc>
        <w:tc>
          <w:tcPr>
            <w:tcW w:type="dxa" w:w="1417"/>
            <w:shd w:val="clear" w:color="auto" w:fill="FFFFFF"/>
          </w:tcPr>
          <w:p>
            <w:pPr>
              <w:jc w:val="center"/>
            </w:pPr>
            <w:r/>
            <w:r>
              <w:rPr>
                <w:b w:val="0"/>
                <w:i w:val="0"/>
                <w:color w:val="B71C1C"/>
                <w:sz w:val="18"/>
              </w:rPr>
              <w:t>✗ Lapsed</w:t>
            </w:r>
          </w:p>
        </w:tc>
        <w:tc>
          <w:tcPr>
            <w:tcW w:type="dxa" w:w="1134"/>
            <w:shd w:val="clear" w:color="auto" w:fill="FFFFFF"/>
          </w:tcPr>
          <w:p>
            <w:pPr>
              <w:jc w:val="center"/>
            </w:pPr>
            <w:r/>
            <w:r>
              <w:rPr>
                <w:b/>
                <w:i w:val="0"/>
                <w:color w:val="1A1A1A"/>
                <w:sz w:val="18"/>
              </w:rPr>
              <w:t>80%</w:t>
            </w:r>
          </w:p>
        </w:tc>
        <w:tc>
          <w:tcPr>
            <w:tcW w:type="dxa" w:w="1134"/>
            <w:shd w:val="clear" w:color="auto" w:fill="FFFFFF"/>
          </w:tcPr>
          <w:p>
            <w:pPr>
              <w:jc w:val="center"/>
            </w:pPr>
            <w:r/>
            <w:r>
              <w:rPr>
                <w:b/>
                <w:i w:val="0"/>
                <w:color w:val="1A1A1A"/>
                <w:sz w:val="18"/>
              </w:rPr>
              <w:t>20%</w:t>
            </w:r>
          </w:p>
        </w:tc>
        <w:tc>
          <w:tcPr>
            <w:tcW w:type="dxa" w:w="2551"/>
            <w:shd w:val="clear" w:color="auto" w:fill="FFFFFF"/>
          </w:tcPr>
          <w:p>
            <w:pPr>
              <w:jc w:val="center"/>
            </w:pPr>
            <w:r/>
            <w:r>
              <w:rPr>
                <w:b w:val="0"/>
                <w:i w:val="0"/>
                <w:color w:val="1A1A1A"/>
                <w:sz w:val="18"/>
              </w:rPr>
              <w:t>Only M1 achieved</w:t>
            </w:r>
          </w:p>
        </w:tc>
      </w:tr>
      <w:tr>
        <w:tc>
          <w:tcPr>
            <w:tcW w:type="dxa" w:w="1417"/>
            <w:shd w:val="clear" w:color="auto" w:fill="F5F5F5"/>
          </w:tcPr>
          <w:p>
            <w:pPr>
              <w:jc w:val="center"/>
            </w:pPr>
            <w:r/>
            <w:r>
              <w:rPr>
                <w:b w:val="0"/>
                <w:i w:val="0"/>
                <w:color w:val="B71C1C"/>
                <w:sz w:val="18"/>
              </w:rPr>
              <w:t>✗ Lapsed</w:t>
            </w:r>
          </w:p>
        </w:tc>
        <w:tc>
          <w:tcPr>
            <w:tcW w:type="dxa" w:w="1417"/>
            <w:shd w:val="clear" w:color="auto" w:fill="F5F5F5"/>
          </w:tcPr>
          <w:p>
            <w:pPr>
              <w:jc w:val="center"/>
            </w:pPr>
            <w:r/>
            <w:r>
              <w:rPr>
                <w:b w:val="0"/>
                <w:i w:val="0"/>
                <w:color w:val="B71C1C"/>
                <w:sz w:val="18"/>
              </w:rPr>
              <w:t>✗ Lapsed</w:t>
            </w:r>
          </w:p>
        </w:tc>
        <w:tc>
          <w:tcPr>
            <w:tcW w:type="dxa" w:w="1417"/>
            <w:shd w:val="clear" w:color="auto" w:fill="F5F5F5"/>
          </w:tcPr>
          <w:p>
            <w:pPr>
              <w:jc w:val="center"/>
            </w:pPr>
            <w:r/>
            <w:r>
              <w:rPr>
                <w:b w:val="0"/>
                <w:i w:val="0"/>
                <w:color w:val="B71C1C"/>
                <w:sz w:val="18"/>
              </w:rPr>
              <w:t>✗ Lapsed</w:t>
            </w:r>
          </w:p>
        </w:tc>
        <w:tc>
          <w:tcPr>
            <w:tcW w:type="dxa" w:w="1134"/>
            <w:shd w:val="clear" w:color="auto" w:fill="F5F5F5"/>
          </w:tcPr>
          <w:p>
            <w:pPr>
              <w:jc w:val="center"/>
            </w:pPr>
            <w:r/>
            <w:r>
              <w:rPr>
                <w:b/>
                <w:i w:val="0"/>
                <w:color w:val="1A1A1A"/>
                <w:sz w:val="18"/>
              </w:rPr>
              <w:t>90%</w:t>
            </w:r>
          </w:p>
        </w:tc>
        <w:tc>
          <w:tcPr>
            <w:tcW w:type="dxa" w:w="1134"/>
            <w:shd w:val="clear" w:color="auto" w:fill="F5F5F5"/>
          </w:tcPr>
          <w:p>
            <w:pPr>
              <w:jc w:val="center"/>
            </w:pPr>
            <w:r/>
            <w:r>
              <w:rPr>
                <w:b/>
                <w:i w:val="0"/>
                <w:color w:val="1A1A1A"/>
                <w:sz w:val="18"/>
              </w:rPr>
              <w:t>10%</w:t>
            </w:r>
          </w:p>
        </w:tc>
        <w:tc>
          <w:tcPr>
            <w:tcW w:type="dxa" w:w="2551"/>
            <w:shd w:val="clear" w:color="auto" w:fill="F5F5F5"/>
          </w:tcPr>
          <w:p>
            <w:pPr>
              <w:jc w:val="center"/>
            </w:pPr>
            <w:r/>
            <w:r>
              <w:rPr>
                <w:b w:val="0"/>
                <w:i w:val="0"/>
                <w:color w:val="1A1A1A"/>
                <w:sz w:val="18"/>
              </w:rPr>
              <w:t>No milestones achieved</w:t>
            </w:r>
          </w:p>
        </w:tc>
      </w:tr>
      <w:tr>
        <w:tc>
          <w:tcPr>
            <w:tcW w:type="dxa" w:w="1417"/>
            <w:shd w:val="clear" w:color="auto" w:fill="FFFFFF"/>
          </w:tcPr>
          <w:p>
            <w:pPr>
              <w:jc w:val="center"/>
            </w:pPr>
            <w:r/>
            <w:r>
              <w:rPr>
                <w:b w:val="0"/>
                <w:i w:val="0"/>
                <w:color w:val="B71C1C"/>
                <w:sz w:val="18"/>
              </w:rPr>
              <w:t>✗ Lapsed</w:t>
            </w:r>
          </w:p>
        </w:tc>
        <w:tc>
          <w:tcPr>
            <w:tcW w:type="dxa" w:w="1417"/>
            <w:shd w:val="clear" w:color="auto" w:fill="FFFFFF"/>
          </w:tcPr>
          <w:p>
            <w:pPr>
              <w:jc w:val="center"/>
            </w:pPr>
            <w:r/>
            <w:r>
              <w:rPr>
                <w:b w:val="0"/>
                <w:i w:val="0"/>
                <w:color w:val="1B5E20"/>
                <w:sz w:val="18"/>
              </w:rPr>
              <w:t>✓ Earned</w:t>
            </w:r>
          </w:p>
        </w:tc>
        <w:tc>
          <w:tcPr>
            <w:tcW w:type="dxa" w:w="1417"/>
            <w:shd w:val="clear" w:color="auto" w:fill="FFFFFF"/>
          </w:tcPr>
          <w:p>
            <w:pPr>
              <w:jc w:val="center"/>
            </w:pPr>
            <w:r/>
            <w:r>
              <w:rPr>
                <w:b w:val="0"/>
                <w:i w:val="0"/>
                <w:color w:val="1B5E20"/>
                <w:sz w:val="18"/>
              </w:rPr>
              <w:t>✓ Earned</w:t>
            </w:r>
          </w:p>
        </w:tc>
        <w:tc>
          <w:tcPr>
            <w:tcW w:type="dxa" w:w="1134"/>
            <w:shd w:val="clear" w:color="auto" w:fill="FFFFFF"/>
          </w:tcPr>
          <w:p>
            <w:pPr>
              <w:jc w:val="center"/>
            </w:pPr>
            <w:r/>
            <w:r>
              <w:rPr>
                <w:b/>
                <w:i w:val="0"/>
                <w:color w:val="1A1A1A"/>
                <w:sz w:val="18"/>
              </w:rPr>
              <w:t>70%</w:t>
            </w:r>
          </w:p>
        </w:tc>
        <w:tc>
          <w:tcPr>
            <w:tcW w:type="dxa" w:w="1134"/>
            <w:shd w:val="clear" w:color="auto" w:fill="FFFFFF"/>
          </w:tcPr>
          <w:p>
            <w:pPr>
              <w:jc w:val="center"/>
            </w:pPr>
            <w:r/>
            <w:r>
              <w:rPr>
                <w:b/>
                <w:i w:val="0"/>
                <w:color w:val="1A1A1A"/>
                <w:sz w:val="18"/>
              </w:rPr>
              <w:t>30%</w:t>
            </w:r>
          </w:p>
        </w:tc>
        <w:tc>
          <w:tcPr>
            <w:tcW w:type="dxa" w:w="2551"/>
            <w:shd w:val="clear" w:color="auto" w:fill="FFFFFF"/>
          </w:tcPr>
          <w:p>
            <w:pPr>
              <w:jc w:val="center"/>
            </w:pPr>
            <w:r/>
            <w:r>
              <w:rPr>
                <w:b w:val="0"/>
                <w:i w:val="0"/>
                <w:color w:val="1A1A1A"/>
                <w:sz w:val="18"/>
              </w:rPr>
              <w:t>M1 missed but M2 &amp; M3 achieved</w:t>
            </w:r>
          </w:p>
        </w:tc>
      </w:tr>
    </w:tbl>
    <w:p>
      <w:pPr>
        <w:spacing w:before="40" w:after="80"/>
      </w:pPr>
      <w:r>
        <w:rPr>
          <w:i/>
          <w:color w:val="555555"/>
          <w:sz w:val="18"/>
        </w:rPr>
        <w:t>Note: Minimum shareholding — Simon retains his initial 10% regardless of milestone outcomes, subject only to bad-leaver buyback provisions. Unearned tranches revert to Davin's free float.</w:t>
      </w:r>
    </w:p>
    <w:p>
      <w:pPr>
        <w:spacing w:before="80" w:after="80"/>
        <w:pBdr>
          <w:bottom w:val="single" w:sz="4" w:space="1" w:color="C9A227"/>
        </w:pBdr>
      </w:pPr>
    </w:p>
    <w:p>
      <w:pPr>
        <w:keepNext/>
        <w:spacing w:before="160" w:after="80"/>
      </w:pPr>
      <w:r>
        <w:rPr>
          <w:b/>
          <w:color w:val="1A1A1A"/>
          <w:sz w:val="22"/>
        </w:rPr>
        <w:t>3.  Milestone Deadlines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val="clear" w:color="auto" w:fill="C9A227"/>
          </w:tcPr>
          <w:p>
            <w:pPr>
              <w:jc w:val="center"/>
            </w:pPr>
            <w:r/>
            <w:r>
              <w:rPr>
                <w:b/>
                <w:i w:val="0"/>
                <w:color w:val="FFFFFF"/>
                <w:sz w:val="18"/>
              </w:rPr>
              <w:t>Tranche</w:t>
            </w:r>
          </w:p>
        </w:tc>
        <w:tc>
          <w:tcPr>
            <w:tcW w:type="dxa" w:w="1984"/>
            <w:shd w:val="clear" w:color="auto" w:fill="C9A227"/>
          </w:tcPr>
          <w:p>
            <w:pPr>
              <w:jc w:val="center"/>
            </w:pPr>
            <w:r/>
            <w:r>
              <w:rPr>
                <w:b/>
                <w:i w:val="0"/>
                <w:color w:val="FFFFFF"/>
                <w:sz w:val="18"/>
              </w:rPr>
              <w:t>AUM Target</w:t>
            </w:r>
          </w:p>
        </w:tc>
        <w:tc>
          <w:tcPr>
            <w:tcW w:type="dxa" w:w="1701"/>
            <w:shd w:val="clear" w:color="auto" w:fill="C9A227"/>
          </w:tcPr>
          <w:p>
            <w:pPr>
              <w:jc w:val="center"/>
            </w:pPr>
            <w:r/>
            <w:r>
              <w:rPr>
                <w:b/>
                <w:i w:val="0"/>
                <w:color w:val="FFFFFF"/>
                <w:sz w:val="18"/>
              </w:rPr>
              <w:t>Equity Earned</w:t>
            </w:r>
          </w:p>
        </w:tc>
        <w:tc>
          <w:tcPr>
            <w:tcW w:type="dxa" w:w="1984"/>
            <w:shd w:val="clear" w:color="auto" w:fill="C9A227"/>
          </w:tcPr>
          <w:p>
            <w:pPr>
              <w:jc w:val="center"/>
            </w:pPr>
            <w:r/>
            <w:r>
              <w:rPr>
                <w:b/>
                <w:i w:val="0"/>
                <w:color w:val="FFFFFF"/>
                <w:sz w:val="18"/>
              </w:rPr>
              <w:t>Deadline</w:t>
            </w:r>
          </w:p>
        </w:tc>
        <w:tc>
          <w:tcPr>
            <w:tcW w:type="dxa" w:w="1984"/>
            <w:shd w:val="clear" w:color="auto" w:fill="C9A227"/>
          </w:tcPr>
          <w:p>
            <w:pPr>
              <w:jc w:val="center"/>
            </w:pPr>
            <w:r/>
            <w:r>
              <w:rPr>
                <w:b/>
                <w:i w:val="0"/>
                <w:color w:val="FFFFFF"/>
                <w:sz w:val="18"/>
              </w:rPr>
              <w:t>Trigger Date</w:t>
            </w:r>
          </w:p>
        </w:tc>
      </w:tr>
      <w:tr>
        <w:tc>
          <w:tcPr>
            <w:tcW w:type="dxa" w:w="1417"/>
            <w:shd w:val="clear" w:color="auto" w:fill="FFFFFF"/>
          </w:tcPr>
          <w:p>
            <w:pPr>
              <w:jc w:val="center"/>
            </w:pPr>
            <w:r/>
            <w:r>
              <w:rPr>
                <w:b w:val="0"/>
                <w:i w:val="0"/>
                <w:color w:val="1A1A1A"/>
                <w:sz w:val="20"/>
              </w:rPr>
              <w:t>Tranche 1</w:t>
            </w:r>
          </w:p>
        </w:tc>
        <w:tc>
          <w:tcPr>
            <w:tcW w:type="dxa" w:w="1984"/>
            <w:shd w:val="clear" w:color="auto" w:fill="FFFFFF"/>
          </w:tcPr>
          <w:p>
            <w:pPr>
              <w:jc w:val="center"/>
            </w:pPr>
            <w:r/>
            <w:r>
              <w:rPr>
                <w:b w:val="0"/>
                <w:i w:val="0"/>
                <w:color w:val="1A1A1A"/>
                <w:sz w:val="20"/>
              </w:rPr>
              <w:t>R50,000,000 AUM</w:t>
            </w:r>
          </w:p>
        </w:tc>
        <w:tc>
          <w:tcPr>
            <w:tcW w:type="dxa" w:w="1701"/>
            <w:shd w:val="clear" w:color="auto" w:fill="FFFFFF"/>
          </w:tcPr>
          <w:p>
            <w:pPr>
              <w:jc w:val="center"/>
            </w:pPr>
            <w:r/>
            <w:r>
              <w:rPr>
                <w:b/>
                <w:i w:val="0"/>
                <w:color w:val="1A1A1A"/>
                <w:sz w:val="20"/>
              </w:rPr>
              <w:t>+10% (total 20%)</w:t>
            </w:r>
          </w:p>
        </w:tc>
        <w:tc>
          <w:tcPr>
            <w:tcW w:type="dxa" w:w="1984"/>
            <w:shd w:val="clear" w:color="auto" w:fill="FFFFFF"/>
          </w:tcPr>
          <w:p>
            <w:pPr>
              <w:jc w:val="center"/>
            </w:pPr>
            <w:r/>
            <w:r>
              <w:rPr>
                <w:b w:val="0"/>
                <w:i w:val="0"/>
                <w:color w:val="1A1A1A"/>
                <w:sz w:val="20"/>
              </w:rPr>
              <w:t>24 months from signing</w:t>
            </w:r>
          </w:p>
        </w:tc>
        <w:tc>
          <w:tcPr>
            <w:tcW w:type="dxa" w:w="1984"/>
            <w:shd w:val="clear" w:color="auto" w:fill="FFFFFF"/>
          </w:tcPr>
          <w:p>
            <w:pPr>
              <w:jc w:val="center"/>
            </w:pPr>
            <w:r/>
            <w:r>
              <w:rPr>
                <w:b w:val="0"/>
                <w:i w:val="0"/>
                <w:color w:val="1A1A1A"/>
                <w:sz w:val="20"/>
              </w:rPr>
              <w:t>~June 2028</w:t>
            </w:r>
          </w:p>
        </w:tc>
      </w:tr>
      <w:tr>
        <w:tc>
          <w:tcPr>
            <w:tcW w:type="dxa" w:w="1417"/>
            <w:shd w:val="clear" w:color="auto" w:fill="F5F5F5"/>
          </w:tcPr>
          <w:p>
            <w:pPr>
              <w:jc w:val="center"/>
            </w:pPr>
            <w:r/>
            <w:r>
              <w:rPr>
                <w:b w:val="0"/>
                <w:i w:val="0"/>
                <w:color w:val="1A1A1A"/>
                <w:sz w:val="20"/>
              </w:rPr>
              <w:t>Tranche 2</w:t>
            </w:r>
          </w:p>
        </w:tc>
        <w:tc>
          <w:tcPr>
            <w:tcW w:type="dxa" w:w="1984"/>
            <w:shd w:val="clear" w:color="auto" w:fill="F5F5F5"/>
          </w:tcPr>
          <w:p>
            <w:pPr>
              <w:jc w:val="center"/>
            </w:pPr>
            <w:r/>
            <w:r>
              <w:rPr>
                <w:b w:val="0"/>
                <w:i w:val="0"/>
                <w:color w:val="1A1A1A"/>
                <w:sz w:val="20"/>
              </w:rPr>
              <w:t>R100,000,000 AUM</w:t>
            </w:r>
          </w:p>
        </w:tc>
        <w:tc>
          <w:tcPr>
            <w:tcW w:type="dxa" w:w="1701"/>
            <w:shd w:val="clear" w:color="auto" w:fill="F5F5F5"/>
          </w:tcPr>
          <w:p>
            <w:pPr>
              <w:jc w:val="center"/>
            </w:pPr>
            <w:r/>
            <w:r>
              <w:rPr>
                <w:b/>
                <w:i w:val="0"/>
                <w:color w:val="1A1A1A"/>
                <w:sz w:val="20"/>
              </w:rPr>
              <w:t>+10% (total 30%)</w:t>
            </w:r>
          </w:p>
        </w:tc>
        <w:tc>
          <w:tcPr>
            <w:tcW w:type="dxa" w:w="1984"/>
            <w:shd w:val="clear" w:color="auto" w:fill="F5F5F5"/>
          </w:tcPr>
          <w:p>
            <w:pPr>
              <w:jc w:val="center"/>
            </w:pPr>
            <w:r/>
            <w:r>
              <w:rPr>
                <w:b w:val="0"/>
                <w:i w:val="0"/>
                <w:color w:val="1A1A1A"/>
                <w:sz w:val="20"/>
              </w:rPr>
              <w:t>48 months from signing</w:t>
            </w:r>
          </w:p>
        </w:tc>
        <w:tc>
          <w:tcPr>
            <w:tcW w:type="dxa" w:w="1984"/>
            <w:shd w:val="clear" w:color="auto" w:fill="F5F5F5"/>
          </w:tcPr>
          <w:p>
            <w:pPr>
              <w:jc w:val="center"/>
            </w:pPr>
            <w:r/>
            <w:r>
              <w:rPr>
                <w:b w:val="0"/>
                <w:i w:val="0"/>
                <w:color w:val="1A1A1A"/>
                <w:sz w:val="20"/>
              </w:rPr>
              <w:t>~June 2030</w:t>
            </w:r>
          </w:p>
        </w:tc>
      </w:tr>
      <w:tr>
        <w:tc>
          <w:tcPr>
            <w:tcW w:type="dxa" w:w="1417"/>
            <w:shd w:val="clear" w:color="auto" w:fill="FFFFFF"/>
          </w:tcPr>
          <w:p>
            <w:pPr>
              <w:jc w:val="center"/>
            </w:pPr>
            <w:r/>
            <w:r>
              <w:rPr>
                <w:b w:val="0"/>
                <w:i w:val="0"/>
                <w:color w:val="1A1A1A"/>
                <w:sz w:val="20"/>
              </w:rPr>
              <w:t>Tranche 3</w:t>
            </w:r>
          </w:p>
        </w:tc>
        <w:tc>
          <w:tcPr>
            <w:tcW w:type="dxa" w:w="1984"/>
            <w:shd w:val="clear" w:color="auto" w:fill="FFFFFF"/>
          </w:tcPr>
          <w:p>
            <w:pPr>
              <w:jc w:val="center"/>
            </w:pPr>
            <w:r/>
            <w:r>
              <w:rPr>
                <w:b w:val="0"/>
                <w:i w:val="0"/>
                <w:color w:val="1A1A1A"/>
                <w:sz w:val="20"/>
              </w:rPr>
              <w:t>R200,000,000 AUM</w:t>
            </w:r>
          </w:p>
        </w:tc>
        <w:tc>
          <w:tcPr>
            <w:tcW w:type="dxa" w:w="1701"/>
            <w:shd w:val="clear" w:color="auto" w:fill="FFFFFF"/>
          </w:tcPr>
          <w:p>
            <w:pPr>
              <w:jc w:val="center"/>
            </w:pPr>
            <w:r/>
            <w:r>
              <w:rPr>
                <w:b/>
                <w:i w:val="0"/>
                <w:color w:val="1A1A1A"/>
                <w:sz w:val="20"/>
              </w:rPr>
              <w:t>+10% (total 40%)</w:t>
            </w:r>
          </w:p>
        </w:tc>
        <w:tc>
          <w:tcPr>
            <w:tcW w:type="dxa" w:w="1984"/>
            <w:shd w:val="clear" w:color="auto" w:fill="FFFFFF"/>
          </w:tcPr>
          <w:p>
            <w:pPr>
              <w:jc w:val="center"/>
            </w:pPr>
            <w:r/>
            <w:r>
              <w:rPr>
                <w:b w:val="0"/>
                <w:i w:val="0"/>
                <w:color w:val="1A1A1A"/>
                <w:sz w:val="20"/>
              </w:rPr>
              <w:t>72 months from signing</w:t>
            </w:r>
          </w:p>
        </w:tc>
        <w:tc>
          <w:tcPr>
            <w:tcW w:type="dxa" w:w="1984"/>
            <w:shd w:val="clear" w:color="auto" w:fill="FFFFFF"/>
          </w:tcPr>
          <w:p>
            <w:pPr>
              <w:jc w:val="center"/>
            </w:pPr>
            <w:r/>
            <w:r>
              <w:rPr>
                <w:b w:val="0"/>
                <w:i w:val="0"/>
                <w:color w:val="1A1A1A"/>
                <w:sz w:val="20"/>
              </w:rPr>
              <w:t>~June 2032</w:t>
            </w:r>
          </w:p>
        </w:tc>
      </w:tr>
    </w:tbl>
    <w:p>
      <w:pPr>
        <w:spacing w:before="40" w:after="80"/>
      </w:pPr>
      <w:r>
        <w:rPr>
          <w:i/>
          <w:color w:val="555555"/>
          <w:sz w:val="18"/>
        </w:rPr>
        <w:t>AUM is verified by reference to the Company's monthly NAV report and the aggregate AUM figure reported in the BitWealth platform. The Board has final authority to confirm milestone achievement.</w:t>
      </w:r>
    </w:p>
    <w:p>
      <w:pPr>
        <w:spacing w:before="80" w:after="80"/>
        <w:pBdr>
          <w:bottom w:val="single" w:sz="4" w:space="1" w:color="C9A227"/>
        </w:pBdr>
      </w:pPr>
    </w:p>
    <w:p>
      <w:pPr>
        <w:keepNext/>
        <w:spacing w:before="160" w:after="80"/>
      </w:pPr>
      <w:r>
        <w:rPr>
          <w:b/>
          <w:color w:val="1A1A1A"/>
          <w:sz w:val="22"/>
        </w:rPr>
        <w:t>4.  Key Assumptions &amp; Notes</w:t>
      </w:r>
    </w:p>
    <w:p>
      <w:pPr>
        <w:pStyle w:val="ListBullet"/>
        <w:spacing w:before="20" w:after="40"/>
        <w:ind w:left="283"/>
      </w:pPr>
      <w:r>
        <w:rPr>
          <w:color w:val="1A1A1A"/>
          <w:sz w:val="20"/>
        </w:rPr>
        <w:t>All 1,000 issued ordinary shares carry equal economic and voting rights.</w:t>
      </w:r>
    </w:p>
    <w:p>
      <w:pPr>
        <w:pStyle w:val="ListBullet"/>
        <w:spacing w:before="20" w:after="40"/>
        <w:ind w:left="283"/>
      </w:pPr>
      <w:r>
        <w:rPr>
          <w:color w:val="1A1A1A"/>
          <w:sz w:val="20"/>
        </w:rPr>
        <w:t>Simon's founding 10% is issued as sweat equity (nil monetary consideration); the notional value at the IP-implied price of R2,500 per share is R250,000.</w:t>
      </w:r>
    </w:p>
    <w:p>
      <w:pPr>
        <w:pStyle w:val="ListBullet"/>
        <w:spacing w:before="20" w:after="40"/>
        <w:ind w:left="283"/>
      </w:pPr>
      <w:r>
        <w:rPr>
          <w:color w:val="1A1A1A"/>
          <w:sz w:val="20"/>
        </w:rPr>
        <w:t>Earn-in tranches represent a transfer of existing shares from Davin Cloete — no new shares will be issued. Total share count remains 1,000.</w:t>
      </w:r>
    </w:p>
    <w:p>
      <w:pPr>
        <w:pStyle w:val="ListBullet"/>
        <w:spacing w:before="20" w:after="40"/>
        <w:ind w:left="283"/>
      </w:pPr>
      <w:r>
        <w:rPr>
          <w:color w:val="1A1A1A"/>
          <w:sz w:val="20"/>
        </w:rPr>
        <w:t>AUM includes assets under management across all client portfolios managed by the Company via the Finova Capital FSP sub-licence.</w:t>
      </w:r>
    </w:p>
    <w:p>
      <w:pPr>
        <w:pStyle w:val="ListBullet"/>
        <w:spacing w:before="20" w:after="40"/>
        <w:ind w:left="283"/>
      </w:pPr>
      <w:r>
        <w:rPr>
          <w:color w:val="1A1A1A"/>
          <w:sz w:val="20"/>
        </w:rPr>
        <w:t>The Company operates under Finova Capital's FSP licence as a Juristic Representative. Simon may be appointed as a Key Individual or Representative once FAIS compliance requirements are met.</w:t>
      </w:r>
    </w:p>
    <w:p>
      <w:pPr>
        <w:pStyle w:val="ListBullet"/>
        <w:spacing w:before="20" w:after="40"/>
        <w:ind w:left="283"/>
      </w:pPr>
      <w:r>
        <w:rPr>
          <w:color w:val="1A1A1A"/>
          <w:sz w:val="20"/>
        </w:rPr>
        <w:t>The earn-in schedule is subject to the full terms set out in the Shareholders' Agreement and the Equity Participation Agreement, which will take precedence.</w:t>
      </w:r>
    </w:p>
    <w:p>
      <w:pPr>
        <w:pStyle w:val="ListBullet"/>
        <w:spacing w:before="20" w:after="40"/>
        <w:ind w:left="283"/>
      </w:pPr>
      <w:r>
        <w:rPr>
          <w:color w:val="1A1A1A"/>
          <w:sz w:val="20"/>
        </w:rPr>
        <w:t>This model is for discussion purposes only and does not constitute a binding legal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