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C9A227"/>
          <w:sz w:val="36"/>
        </w:rPr>
        <w:t>BITWEALTH (PTY) LTD</w:t>
      </w:r>
    </w:p>
    <w:p>
      <w:pPr>
        <w:spacing w:after="40"/>
        <w:jc w:val="center"/>
      </w:pPr>
      <w:r>
        <w:rPr>
          <w:color w:val="1A1A1A"/>
          <w:sz w:val="22"/>
        </w:rPr>
        <w:t>Non-Binding Heads of Terms — Business Development Equity Participation</w:t>
      </w:r>
    </w:p>
    <w:p>
      <w:pPr>
        <w:spacing w:after="200"/>
        <w:jc w:val="center"/>
      </w:pPr>
      <w:r>
        <w:rPr>
          <w:i/>
          <w:color w:val="555555"/>
          <w:sz w:val="18"/>
        </w:rPr>
        <w:t>Date: 29 June 2026  ·  PRIVATE &amp; CONFIDENTIAL  ·  NON-BINDING</w:t>
      </w:r>
    </w:p>
    <w:p>
      <w:pPr>
        <w:spacing w:before="80" w:after="80"/>
        <w:pBdr>
          <w:bottom w:val="single" w:sz="4" w:space="1" w:color="C9A227"/>
        </w:pBdr>
      </w:pPr>
    </w:p>
    <w:p>
      <w:pPr>
        <w:spacing w:before="40" w:after="80"/>
      </w:pPr>
      <w:r>
        <w:rPr>
          <w:i w:val="0"/>
          <w:color w:val="1A1A1A"/>
          <w:sz w:val="20"/>
        </w:rPr>
        <w:t>This term sheet sets out the proposed principal terms of an equity participation arrangement between Davin Cloete and Simon Hobday in respect of BitWealth (Pty) Ltd ('the Company'). This document is non-binding, subject to contract, and intended for discussion purposes only. Final terms will be recorded in a Shareholders' Agreement and Equity Participation Agreement drafted by the Company's attorneys.</w:t>
      </w:r>
    </w:p>
    <w:p>
      <w:pPr>
        <w:spacing w:before="80" w:after="80"/>
        <w:pBdr>
          <w:bottom w:val="single" w:sz="4" w:space="1" w:color="C9A227"/>
        </w:pBdr>
      </w:pPr>
    </w:p>
    <w:p>
      <w:pPr>
        <w:keepNext/>
        <w:spacing w:before="280" w:after="80"/>
      </w:pPr>
      <w:r>
        <w:rPr>
          <w:rFonts w:ascii="Calibri" w:hAnsi="Calibri"/>
          <w:b/>
          <w:color w:val="C9A227"/>
          <w:sz w:val="28"/>
        </w:rPr>
        <w:t>1.  PARTIES</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Founder</w:t>
            </w:r>
          </w:p>
        </w:tc>
        <w:tc>
          <w:tcPr>
            <w:tcW w:type="dxa" w:w="6236"/>
            <w:shd w:val="clear" w:color="auto" w:fill="F5F5F5"/>
          </w:tcPr>
          <w:p>
            <w:pPr>
              <w:spacing w:before="20" w:after="40"/>
            </w:pPr>
            <w:r/>
            <w:r>
              <w:rPr>
                <w:color w:val="1A1A1A"/>
                <w:sz w:val="20"/>
              </w:rPr>
              <w:t>Davin Cloete, ID [●], Republic of South Africa.</w:t>
            </w:r>
          </w:p>
        </w:tc>
      </w:tr>
      <w:tr>
        <w:tc>
          <w:tcPr>
            <w:tcW w:type="dxa" w:w="3118"/>
            <w:shd w:val="clear" w:color="auto" w:fill="FFFFFF"/>
          </w:tcPr>
          <w:p>
            <w:r/>
            <w:r>
              <w:rPr>
                <w:b/>
                <w:i w:val="0"/>
                <w:color w:val="1A1A1A"/>
                <w:sz w:val="20"/>
              </w:rPr>
              <w:t>Partner</w:t>
            </w:r>
          </w:p>
        </w:tc>
        <w:tc>
          <w:tcPr>
            <w:tcW w:type="dxa" w:w="6236"/>
            <w:shd w:val="clear" w:color="auto" w:fill="FFFFFF"/>
          </w:tcPr>
          <w:p>
            <w:pPr>
              <w:spacing w:before="20" w:after="40"/>
            </w:pPr>
            <w:r/>
            <w:r>
              <w:rPr>
                <w:color w:val="1A1A1A"/>
                <w:sz w:val="20"/>
              </w:rPr>
              <w:t>Simon Hobday, ID [●], Republic of South Africa ('Simon').</w:t>
            </w:r>
          </w:p>
        </w:tc>
      </w:tr>
      <w:tr>
        <w:tc>
          <w:tcPr>
            <w:tcW w:type="dxa" w:w="3118"/>
            <w:shd w:val="clear" w:color="auto" w:fill="F5F5F5"/>
          </w:tcPr>
          <w:p>
            <w:r/>
            <w:r>
              <w:rPr>
                <w:b/>
                <w:i w:val="0"/>
                <w:color w:val="1A1A1A"/>
                <w:sz w:val="20"/>
              </w:rPr>
              <w:t>Company</w:t>
            </w:r>
          </w:p>
        </w:tc>
        <w:tc>
          <w:tcPr>
            <w:tcW w:type="dxa" w:w="6236"/>
            <w:shd w:val="clear" w:color="auto" w:fill="F5F5F5"/>
          </w:tcPr>
          <w:p>
            <w:pPr>
              <w:spacing w:before="20" w:after="40"/>
            </w:pPr>
            <w:r/>
            <w:r>
              <w:rPr>
                <w:color w:val="1A1A1A"/>
                <w:sz w:val="20"/>
              </w:rPr>
              <w:t>BitWealth (Pty) Ltd (Registration No. [●] / 2025), a private company incorporated in the Republic of South Africa, operating a Bitcoin Dollar-Cost Averaging investment management platform.</w:t>
            </w:r>
          </w:p>
        </w:tc>
      </w:tr>
      <w:tr>
        <w:tc>
          <w:tcPr>
            <w:tcW w:type="dxa" w:w="3118"/>
            <w:shd w:val="clear" w:color="auto" w:fill="FFFFFF"/>
          </w:tcPr>
          <w:p>
            <w:r/>
            <w:r>
              <w:rPr>
                <w:b/>
                <w:i w:val="0"/>
                <w:color w:val="1A1A1A"/>
                <w:sz w:val="20"/>
              </w:rPr>
              <w:t>FSP</w:t>
            </w:r>
          </w:p>
        </w:tc>
        <w:tc>
          <w:tcPr>
            <w:tcW w:type="dxa" w:w="6236"/>
            <w:shd w:val="clear" w:color="auto" w:fill="FFFFFF"/>
          </w:tcPr>
          <w:p>
            <w:pPr>
              <w:spacing w:before="20" w:after="40"/>
            </w:pPr>
            <w:r/>
            <w:r>
              <w:rPr>
                <w:color w:val="1A1A1A"/>
                <w:sz w:val="20"/>
              </w:rPr>
              <w:t>Finova Capital (Pty) Ltd, FSP No. [●] — BitWealth will be appointed as a Juristic Representative (JR) under Finova Capital's FSP licence in terms of the FAIS Act, 37 of 2002.</w:t>
            </w:r>
          </w:p>
        </w:tc>
      </w:tr>
    </w:tbl>
    <w:p>
      <w:pPr>
        <w:spacing w:after="80"/>
      </w:pPr>
    </w:p>
    <w:p>
      <w:pPr>
        <w:keepNext/>
        <w:spacing w:before="280" w:after="80"/>
      </w:pPr>
      <w:r>
        <w:rPr>
          <w:rFonts w:ascii="Calibri" w:hAnsi="Calibri"/>
          <w:b/>
          <w:color w:val="C9A227"/>
          <w:sz w:val="28"/>
        </w:rPr>
        <w:t>2.  COMPANY &amp; IP FOUNDATION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Business</w:t>
            </w:r>
          </w:p>
        </w:tc>
        <w:tc>
          <w:tcPr>
            <w:tcW w:type="dxa" w:w="6236"/>
            <w:shd w:val="clear" w:color="auto" w:fill="F5F5F5"/>
          </w:tcPr>
          <w:p>
            <w:pPr>
              <w:spacing w:before="20" w:after="40"/>
            </w:pPr>
            <w:r/>
            <w:r>
              <w:rPr>
                <w:color w:val="1A1A1A"/>
                <w:sz w:val="20"/>
              </w:rPr>
              <w:t>Bitcoin DCA investment management for retail and HNWI clients. The Company's proprietary LTH PVR algorithm drives automated daily buy/sell decisions executed via the VALR exchange.</w:t>
            </w:r>
          </w:p>
        </w:tc>
      </w:tr>
      <w:tr>
        <w:tc>
          <w:tcPr>
            <w:tcW w:type="dxa" w:w="3118"/>
            <w:shd w:val="clear" w:color="auto" w:fill="FFFFFF"/>
          </w:tcPr>
          <w:p>
            <w:r/>
            <w:r>
              <w:rPr>
                <w:b/>
                <w:i w:val="0"/>
                <w:color w:val="1A1A1A"/>
                <w:sz w:val="20"/>
              </w:rPr>
              <w:t>IP Asset</w:t>
            </w:r>
          </w:p>
        </w:tc>
        <w:tc>
          <w:tcPr>
            <w:tcW w:type="dxa" w:w="6236"/>
            <w:shd w:val="clear" w:color="auto" w:fill="FFFFFF"/>
          </w:tcPr>
          <w:p>
            <w:pPr>
              <w:spacing w:before="20" w:after="40"/>
            </w:pPr>
            <w:r/>
            <w:r>
              <w:rPr>
                <w:color w:val="1A1A1A"/>
                <w:sz w:val="20"/>
              </w:rPr>
              <w:t>The BitWealth LTH PVR technology platform has been transferred to the Company by Davin Cloete pursuant to a signed IP Transfer Agreement. Agreed fair value: R2,500,000 (Two Million Five Hundred Thousand Rand), recorded on the Company's balance sheet.</w:t>
            </w:r>
          </w:p>
        </w:tc>
      </w:tr>
      <w:tr>
        <w:tc>
          <w:tcPr>
            <w:tcW w:type="dxa" w:w="3118"/>
            <w:shd w:val="clear" w:color="auto" w:fill="F5F5F5"/>
          </w:tcPr>
          <w:p>
            <w:r/>
            <w:r>
              <w:rPr>
                <w:b/>
                <w:i w:val="0"/>
                <w:color w:val="1A1A1A"/>
                <w:sz w:val="20"/>
              </w:rPr>
              <w:t>Share Capital</w:t>
            </w:r>
          </w:p>
        </w:tc>
        <w:tc>
          <w:tcPr>
            <w:tcW w:type="dxa" w:w="6236"/>
            <w:shd w:val="clear" w:color="auto" w:fill="F5F5F5"/>
          </w:tcPr>
          <w:p>
            <w:pPr>
              <w:spacing w:before="20" w:after="40"/>
            </w:pPr>
            <w:r/>
            <w:r>
              <w:rPr>
                <w:color w:val="1A1A1A"/>
                <w:sz w:val="20"/>
              </w:rPr>
              <w:t>1,000 ordinary shares of R1.00 par value each are in issue. All shares carry equal voting, dividend, and liquidation rights. Davin Cloete currently holds all 1,000 shares.</w:t>
            </w:r>
          </w:p>
        </w:tc>
      </w:tr>
      <w:tr>
        <w:tc>
          <w:tcPr>
            <w:tcW w:type="dxa" w:w="3118"/>
            <w:shd w:val="clear" w:color="auto" w:fill="FFFFFF"/>
          </w:tcPr>
          <w:p>
            <w:r/>
            <w:r>
              <w:rPr>
                <w:b/>
                <w:i w:val="0"/>
                <w:color w:val="1A1A1A"/>
                <w:sz w:val="20"/>
              </w:rPr>
              <w:t>Valuation Basis</w:t>
            </w:r>
          </w:p>
        </w:tc>
        <w:tc>
          <w:tcPr>
            <w:tcW w:type="dxa" w:w="6236"/>
            <w:shd w:val="clear" w:color="auto" w:fill="FFFFFF"/>
          </w:tcPr>
          <w:p>
            <w:pPr>
              <w:spacing w:before="20" w:after="40"/>
            </w:pPr>
            <w:r/>
            <w:r>
              <w:rPr>
                <w:color w:val="1A1A1A"/>
                <w:sz w:val="20"/>
              </w:rPr>
              <w:t>No external valuation has been obtained. The IP value reflects the agreed commercial consideration for the Founder's contribution. No institutional capital has been raised at this stage.</w:t>
            </w:r>
          </w:p>
        </w:tc>
      </w:tr>
    </w:tbl>
    <w:p>
      <w:pPr>
        <w:spacing w:after="80"/>
      </w:pPr>
    </w:p>
    <w:p>
      <w:pPr>
        <w:keepNext/>
        <w:spacing w:before="280" w:after="80"/>
      </w:pPr>
      <w:r>
        <w:rPr>
          <w:rFonts w:ascii="Calibri" w:hAnsi="Calibri"/>
          <w:b/>
          <w:color w:val="C9A227"/>
          <w:sz w:val="28"/>
        </w:rPr>
        <w:t>3.  SIMON'S ROLE &amp; CONTRIBUTION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Role Title</w:t>
            </w:r>
          </w:p>
        </w:tc>
        <w:tc>
          <w:tcPr>
            <w:tcW w:type="dxa" w:w="6236"/>
            <w:shd w:val="clear" w:color="auto" w:fill="F5F5F5"/>
          </w:tcPr>
          <w:p>
            <w:pPr>
              <w:spacing w:before="20" w:after="40"/>
            </w:pPr>
            <w:r/>
            <w:r>
              <w:rPr>
                <w:color w:val="1A1A1A"/>
                <w:sz w:val="20"/>
              </w:rPr>
              <w:t>Head of Business Development</w:t>
            </w:r>
          </w:p>
        </w:tc>
      </w:tr>
      <w:tr>
        <w:tc>
          <w:tcPr>
            <w:tcW w:type="dxa" w:w="3118"/>
            <w:shd w:val="clear" w:color="auto" w:fill="FFFFFF"/>
          </w:tcPr>
          <w:p>
            <w:r/>
            <w:r>
              <w:rPr>
                <w:b/>
                <w:i w:val="0"/>
                <w:color w:val="1A1A1A"/>
                <w:sz w:val="20"/>
              </w:rPr>
              <w:t>Capital</w:t>
            </w:r>
          </w:p>
        </w:tc>
        <w:tc>
          <w:tcPr>
            <w:tcW w:type="dxa" w:w="6236"/>
            <w:shd w:val="clear" w:color="auto" w:fill="FFFFFF"/>
          </w:tcPr>
          <w:p>
            <w:pPr>
              <w:spacing w:before="20" w:after="40"/>
            </w:pPr>
            <w:r/>
            <w:r>
              <w:rPr>
                <w:color w:val="1A1A1A"/>
                <w:sz w:val="20"/>
              </w:rPr>
              <w:t>NIL — Simon will contribute no monetary capital to the Company. His equity participation is earned exclusively through performance against the AUM milestones set out below.</w:t>
            </w:r>
          </w:p>
        </w:tc>
      </w:tr>
      <w:tr>
        <w:tc>
          <w:tcPr>
            <w:tcW w:type="dxa" w:w="3118"/>
            <w:shd w:val="clear" w:color="auto" w:fill="F5F5F5"/>
          </w:tcPr>
          <w:p>
            <w:r/>
            <w:r>
              <w:rPr>
                <w:b/>
                <w:i w:val="0"/>
                <w:color w:val="1A1A1A"/>
                <w:sz w:val="20"/>
              </w:rPr>
              <w:t>Responsibilities</w:t>
            </w:r>
          </w:p>
        </w:tc>
        <w:tc>
          <w:tcPr>
            <w:tcW w:type="dxa" w:w="6236"/>
            <w:shd w:val="clear" w:color="auto" w:fill="F5F5F5"/>
          </w:tcPr>
          <w:p>
            <w:pPr>
              <w:spacing w:before="20" w:after="40"/>
            </w:pPr>
            <w:r/>
            <w:r>
              <w:rPr>
                <w:color w:val="1A1A1A"/>
                <w:sz w:val="20"/>
              </w:rPr>
              <w:t>Simon will be primarily responsible for:</w:t>
            </w:r>
          </w:p>
          <w:p>
            <w:pPr>
              <w:spacing w:before="20" w:after="40"/>
            </w:pPr>
            <w:r>
              <w:rPr>
                <w:b/>
                <w:color w:val="1A1A1A"/>
                <w:sz w:val="20"/>
              </w:rPr>
              <w:t>(a) Origination and onboarding of new clients onto the BitWealth platform;</w:t>
            </w:r>
          </w:p>
          <w:p>
            <w:pPr>
              <w:spacing w:before="20" w:after="40"/>
            </w:pPr>
            <w:r>
              <w:rPr>
                <w:b/>
                <w:color w:val="1A1A1A"/>
                <w:sz w:val="20"/>
              </w:rPr>
              <w:t>(b) Management and growth of existing client relationships;</w:t>
            </w:r>
          </w:p>
          <w:p>
            <w:pPr>
              <w:spacing w:before="20" w:after="40"/>
            </w:pPr>
            <w:r>
              <w:rPr>
                <w:b/>
                <w:color w:val="1A1A1A"/>
                <w:sz w:val="20"/>
              </w:rPr>
              <w:t>(c) Achievement of the AUM milestones set out in Clause 5;</w:t>
            </w:r>
          </w:p>
          <w:p>
            <w:pPr>
              <w:spacing w:before="20" w:after="40"/>
            </w:pPr>
            <w:r>
              <w:rPr>
                <w:b/>
                <w:color w:val="1A1A1A"/>
                <w:sz w:val="20"/>
              </w:rPr>
              <w:t>(d) Such other business development activities as the Board may agree from time to time.</w:t>
            </w:r>
          </w:p>
        </w:tc>
      </w:tr>
      <w:tr>
        <w:tc>
          <w:tcPr>
            <w:tcW w:type="dxa" w:w="3118"/>
            <w:shd w:val="clear" w:color="auto" w:fill="FFFFFF"/>
          </w:tcPr>
          <w:p>
            <w:r/>
            <w:r>
              <w:rPr>
                <w:b/>
                <w:i w:val="0"/>
                <w:color w:val="1A1A1A"/>
                <w:sz w:val="20"/>
              </w:rPr>
              <w:t>FAIS Compliance</w:t>
            </w:r>
          </w:p>
        </w:tc>
        <w:tc>
          <w:tcPr>
            <w:tcW w:type="dxa" w:w="6236"/>
            <w:shd w:val="clear" w:color="auto" w:fill="FFFFFF"/>
          </w:tcPr>
          <w:p>
            <w:pPr>
              <w:spacing w:before="20" w:after="40"/>
            </w:pPr>
            <w:r/>
            <w:r>
              <w:rPr>
                <w:color w:val="1A1A1A"/>
                <w:sz w:val="20"/>
              </w:rPr>
              <w:t>Simon will be required to satisfy all applicable FAIS fitness and propriety requirements to operate as a Representative under Finova Capital's FSP licence. Failure to obtain or maintain the required regulatory approvals within 3 months of the signing date will constitute a material breach of this arrangement.</w:t>
            </w:r>
          </w:p>
        </w:tc>
      </w:tr>
      <w:tr>
        <w:tc>
          <w:tcPr>
            <w:tcW w:type="dxa" w:w="3118"/>
            <w:shd w:val="clear" w:color="auto" w:fill="F5F5F5"/>
          </w:tcPr>
          <w:p>
            <w:r/>
            <w:r>
              <w:rPr>
                <w:b/>
                <w:i w:val="0"/>
                <w:color w:val="1A1A1A"/>
                <w:sz w:val="20"/>
              </w:rPr>
              <w:t>Time Commitment</w:t>
            </w:r>
          </w:p>
        </w:tc>
        <w:tc>
          <w:tcPr>
            <w:tcW w:type="dxa" w:w="6236"/>
            <w:shd w:val="clear" w:color="auto" w:fill="F5F5F5"/>
          </w:tcPr>
          <w:p>
            <w:pPr>
              <w:spacing w:before="20" w:after="40"/>
            </w:pPr>
            <w:r/>
            <w:r>
              <w:rPr>
                <w:color w:val="1A1A1A"/>
                <w:sz w:val="20"/>
              </w:rPr>
              <w:t>Simon is expected to devote sufficient time to the business to achieve the milestones. The Board may, by resolution, agree to a formal employment or consulting agreement on terms to be negotiated.</w:t>
            </w:r>
          </w:p>
        </w:tc>
      </w:tr>
    </w:tbl>
    <w:p>
      <w:pPr>
        <w:spacing w:after="80"/>
      </w:pPr>
    </w:p>
    <w:p>
      <w:pPr>
        <w:keepNext/>
        <w:spacing w:before="280" w:after="80"/>
      </w:pPr>
      <w:r>
        <w:rPr>
          <w:rFonts w:ascii="Calibri" w:hAnsi="Calibri"/>
          <w:b/>
          <w:color w:val="C9A227"/>
          <w:sz w:val="28"/>
        </w:rPr>
        <w:t>4.  FOUNDING EQUITY GRANT (INITIAL 10%)</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Shares Granted</w:t>
            </w:r>
          </w:p>
        </w:tc>
        <w:tc>
          <w:tcPr>
            <w:tcW w:type="dxa" w:w="6236"/>
            <w:shd w:val="clear" w:color="auto" w:fill="F5F5F5"/>
          </w:tcPr>
          <w:p>
            <w:pPr>
              <w:spacing w:before="20" w:after="40"/>
            </w:pPr>
            <w:r/>
            <w:r>
              <w:rPr>
                <w:color w:val="1A1A1A"/>
                <w:sz w:val="20"/>
              </w:rPr>
              <w:t>On the signing date, Davin Cloete will transfer 100 ordinary shares (10% of issued share capital) to Simon Hobday for nil monetary consideration.</w:t>
            </w:r>
          </w:p>
        </w:tc>
      </w:tr>
      <w:tr>
        <w:tc>
          <w:tcPr>
            <w:tcW w:type="dxa" w:w="3118"/>
            <w:shd w:val="clear" w:color="auto" w:fill="FFFFFF"/>
          </w:tcPr>
          <w:p>
            <w:r/>
            <w:r>
              <w:rPr>
                <w:b/>
                <w:i w:val="0"/>
                <w:color w:val="1A1A1A"/>
                <w:sz w:val="20"/>
              </w:rPr>
              <w:t>Rationale</w:t>
            </w:r>
          </w:p>
        </w:tc>
        <w:tc>
          <w:tcPr>
            <w:tcW w:type="dxa" w:w="6236"/>
            <w:shd w:val="clear" w:color="auto" w:fill="FFFFFF"/>
          </w:tcPr>
          <w:p>
            <w:pPr>
              <w:spacing w:before="20" w:after="40"/>
            </w:pPr>
            <w:r/>
            <w:r>
              <w:rPr>
                <w:color w:val="1A1A1A"/>
                <w:sz w:val="20"/>
              </w:rPr>
              <w:t>The 10% founding equity reflects Simon's commitment to the business development role and his appointment as an executive partner. No performance condition attaches to the initial 10%.</w:t>
            </w:r>
          </w:p>
        </w:tc>
      </w:tr>
      <w:tr>
        <w:tc>
          <w:tcPr>
            <w:tcW w:type="dxa" w:w="3118"/>
            <w:shd w:val="clear" w:color="auto" w:fill="F5F5F5"/>
          </w:tcPr>
          <w:p>
            <w:r/>
            <w:r>
              <w:rPr>
                <w:b/>
                <w:i w:val="0"/>
                <w:color w:val="1A1A1A"/>
                <w:sz w:val="20"/>
              </w:rPr>
              <w:t>Notional Value</w:t>
            </w:r>
          </w:p>
        </w:tc>
        <w:tc>
          <w:tcPr>
            <w:tcW w:type="dxa" w:w="6236"/>
            <w:shd w:val="clear" w:color="auto" w:fill="F5F5F5"/>
          </w:tcPr>
          <w:p>
            <w:pPr>
              <w:spacing w:before="20" w:after="40"/>
            </w:pPr>
            <w:r/>
            <w:r>
              <w:rPr>
                <w:color w:val="1A1A1A"/>
                <w:sz w:val="20"/>
              </w:rPr>
              <w:t>At the IP-implied price of R2,500 per share, the notional value of the 10% founding grant is R250,000 (Two Hundred and Fifty Thousand Rand). This does not represent a guaranteed or market-derived valuation.</w:t>
            </w:r>
          </w:p>
        </w:tc>
      </w:tr>
      <w:tr>
        <w:tc>
          <w:tcPr>
            <w:tcW w:type="dxa" w:w="3118"/>
            <w:shd w:val="clear" w:color="auto" w:fill="FFFFFF"/>
          </w:tcPr>
          <w:p>
            <w:r/>
            <w:r>
              <w:rPr>
                <w:b/>
                <w:i w:val="0"/>
                <w:color w:val="1A1A1A"/>
                <w:sz w:val="20"/>
              </w:rPr>
              <w:t>Effective Date</w:t>
            </w:r>
          </w:p>
        </w:tc>
        <w:tc>
          <w:tcPr>
            <w:tcW w:type="dxa" w:w="6236"/>
            <w:shd w:val="clear" w:color="auto" w:fill="FFFFFF"/>
          </w:tcPr>
          <w:p>
            <w:pPr>
              <w:spacing w:before="20" w:after="40"/>
            </w:pPr>
            <w:r/>
            <w:r>
              <w:rPr>
                <w:color w:val="1A1A1A"/>
                <w:sz w:val="20"/>
              </w:rPr>
              <w:t>Transfer of the founding shares will be effected within 5 business days of signature of the Shareholders' Agreement.</w:t>
            </w:r>
          </w:p>
        </w:tc>
      </w:tr>
      <w:tr>
        <w:tc>
          <w:tcPr>
            <w:tcW w:type="dxa" w:w="3118"/>
            <w:shd w:val="clear" w:color="auto" w:fill="F5F5F5"/>
          </w:tcPr>
          <w:p>
            <w:r/>
            <w:r>
              <w:rPr>
                <w:b/>
                <w:i w:val="0"/>
                <w:color w:val="1A1A1A"/>
                <w:sz w:val="20"/>
              </w:rPr>
              <w:t>Conditions</w:t>
            </w:r>
          </w:p>
        </w:tc>
        <w:tc>
          <w:tcPr>
            <w:tcW w:type="dxa" w:w="6236"/>
            <w:shd w:val="clear" w:color="auto" w:fill="F5F5F5"/>
          </w:tcPr>
          <w:p>
            <w:pPr>
              <w:spacing w:before="20" w:after="40"/>
            </w:pPr>
            <w:r/>
            <w:r>
              <w:rPr>
                <w:b/>
                <w:color w:val="1A1A1A"/>
                <w:sz w:val="20"/>
              </w:rPr>
              <w:t>(a) Execution of the Shareholders' Agreement by both parties.</w:t>
            </w:r>
          </w:p>
          <w:p>
            <w:pPr>
              <w:spacing w:before="20" w:after="40"/>
            </w:pPr>
            <w:r>
              <w:rPr>
                <w:b/>
                <w:color w:val="1A1A1A"/>
                <w:sz w:val="20"/>
              </w:rPr>
              <w:t>(b) Simon's written acceptance of this term sheet.</w:t>
            </w:r>
          </w:p>
          <w:p>
            <w:pPr>
              <w:spacing w:before="20" w:after="40"/>
            </w:pPr>
            <w:r>
              <w:rPr>
                <w:b/>
                <w:color w:val="1A1A1A"/>
                <w:sz w:val="20"/>
              </w:rPr>
              <w:t>(c) Confirmation of Simon's FAIS eligibility with Finova Capital.</w:t>
            </w:r>
          </w:p>
        </w:tc>
      </w:tr>
    </w:tbl>
    <w:p>
      <w:pPr>
        <w:spacing w:after="80"/>
      </w:pPr>
    </w:p>
    <w:p>
      <w:pPr>
        <w:keepNext/>
        <w:spacing w:before="280" w:after="80"/>
      </w:pPr>
      <w:r>
        <w:rPr>
          <w:rFonts w:ascii="Calibri" w:hAnsi="Calibri"/>
          <w:b/>
          <w:color w:val="C9A227"/>
          <w:sz w:val="28"/>
        </w:rPr>
        <w:t>5.  EARN-IN MILESTONES (ADDITIONAL 30%)</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Mechanism</w:t>
            </w:r>
          </w:p>
        </w:tc>
        <w:tc>
          <w:tcPr>
            <w:tcW w:type="dxa" w:w="6236"/>
            <w:shd w:val="clear" w:color="auto" w:fill="F5F5F5"/>
          </w:tcPr>
          <w:p>
            <w:pPr>
              <w:spacing w:before="20" w:after="40"/>
            </w:pPr>
            <w:r/>
            <w:r>
              <w:rPr>
                <w:color w:val="1A1A1A"/>
                <w:sz w:val="20"/>
              </w:rPr>
              <w:t>Simon may earn up to an additional 30% of the Company in three equal tranches of 10% each (100 shares per tranche), contingent on achieving the AUM milestones set out below. Each tranche is a transfer of existing shares from Davin Cloete.</w:t>
            </w:r>
          </w:p>
        </w:tc>
      </w:tr>
      <w:tr>
        <w:tc>
          <w:tcPr>
            <w:tcW w:type="dxa" w:w="3118"/>
            <w:shd w:val="clear" w:color="auto" w:fill="FFFFFF"/>
          </w:tcPr>
          <w:p>
            <w:r/>
            <w:r>
              <w:rPr>
                <w:b/>
                <w:i w:val="0"/>
                <w:color w:val="1A1A1A"/>
                <w:sz w:val="20"/>
              </w:rPr>
              <w:t>Tranche 1</w:t>
            </w:r>
          </w:p>
        </w:tc>
        <w:tc>
          <w:tcPr>
            <w:tcW w:type="dxa" w:w="6236"/>
            <w:shd w:val="clear" w:color="auto" w:fill="FFFFFF"/>
          </w:tcPr>
          <w:p>
            <w:pPr>
              <w:spacing w:before="20" w:after="40"/>
            </w:pPr>
            <w:r/>
            <w:r>
              <w:rPr>
                <w:color w:val="1A1A1A"/>
                <w:sz w:val="20"/>
              </w:rPr>
              <w:t>10% (100 shares) transferred to Simon upon the Company achieving verified total AUM of R50,000,000 (Fifty Million Rand) or more.</w:t>
            </w:r>
          </w:p>
          <w:p>
            <w:pPr>
              <w:spacing w:before="20" w:after="40"/>
            </w:pPr>
            <w:r>
              <w:rPr>
                <w:color w:val="1A1A1A"/>
                <w:sz w:val="20"/>
              </w:rPr>
              <w:t>Deadline: within 24 months of the Commencement Date (~June 2028).</w:t>
            </w:r>
          </w:p>
        </w:tc>
      </w:tr>
      <w:tr>
        <w:tc>
          <w:tcPr>
            <w:tcW w:type="dxa" w:w="3118"/>
            <w:shd w:val="clear" w:color="auto" w:fill="F5F5F5"/>
          </w:tcPr>
          <w:p>
            <w:r/>
            <w:r>
              <w:rPr>
                <w:b/>
                <w:i w:val="0"/>
                <w:color w:val="1A1A1A"/>
                <w:sz w:val="20"/>
              </w:rPr>
              <w:t>Tranche 2</w:t>
            </w:r>
          </w:p>
        </w:tc>
        <w:tc>
          <w:tcPr>
            <w:tcW w:type="dxa" w:w="6236"/>
            <w:shd w:val="clear" w:color="auto" w:fill="F5F5F5"/>
          </w:tcPr>
          <w:p>
            <w:pPr>
              <w:spacing w:before="20" w:after="40"/>
            </w:pPr>
            <w:r/>
            <w:r>
              <w:rPr>
                <w:color w:val="1A1A1A"/>
                <w:sz w:val="20"/>
              </w:rPr>
              <w:t>10% (100 shares) transferred to Simon upon the Company achieving verified total AUM of R100,000,000 (One Hundred Million Rand) or more.</w:t>
            </w:r>
          </w:p>
          <w:p>
            <w:pPr>
              <w:spacing w:before="20" w:after="40"/>
            </w:pPr>
            <w:r>
              <w:rPr>
                <w:color w:val="1A1A1A"/>
                <w:sz w:val="20"/>
              </w:rPr>
              <w:t>Deadline: within 48 months of the Commencement Date (~June 2030).</w:t>
            </w:r>
          </w:p>
        </w:tc>
      </w:tr>
      <w:tr>
        <w:tc>
          <w:tcPr>
            <w:tcW w:type="dxa" w:w="3118"/>
            <w:shd w:val="clear" w:color="auto" w:fill="FFFFFF"/>
          </w:tcPr>
          <w:p>
            <w:r/>
            <w:r>
              <w:rPr>
                <w:b/>
                <w:i w:val="0"/>
                <w:color w:val="1A1A1A"/>
                <w:sz w:val="20"/>
              </w:rPr>
              <w:t>Tranche 3</w:t>
            </w:r>
          </w:p>
        </w:tc>
        <w:tc>
          <w:tcPr>
            <w:tcW w:type="dxa" w:w="6236"/>
            <w:shd w:val="clear" w:color="auto" w:fill="FFFFFF"/>
          </w:tcPr>
          <w:p>
            <w:pPr>
              <w:spacing w:before="20" w:after="40"/>
            </w:pPr>
            <w:r/>
            <w:r>
              <w:rPr>
                <w:color w:val="1A1A1A"/>
                <w:sz w:val="20"/>
              </w:rPr>
              <w:t>10% (100 shares) transferred to Simon upon the Company achieving verified total AUM of R200,000,000 (Two Hundred Million Rand) or more.</w:t>
            </w:r>
          </w:p>
          <w:p>
            <w:pPr>
              <w:spacing w:before="20" w:after="40"/>
            </w:pPr>
            <w:r>
              <w:rPr>
                <w:color w:val="1A1A1A"/>
                <w:sz w:val="20"/>
              </w:rPr>
              <w:t>Deadline: within 72 months of the Commencement Date (~June 2032).</w:t>
            </w:r>
          </w:p>
        </w:tc>
      </w:tr>
      <w:tr>
        <w:tc>
          <w:tcPr>
            <w:tcW w:type="dxa" w:w="3118"/>
            <w:shd w:val="clear" w:color="auto" w:fill="F5F5F5"/>
          </w:tcPr>
          <w:p>
            <w:r/>
            <w:r>
              <w:rPr>
                <w:b/>
                <w:i w:val="0"/>
                <w:color w:val="1A1A1A"/>
                <w:sz w:val="20"/>
              </w:rPr>
              <w:t>AUM Definition</w:t>
            </w:r>
          </w:p>
        </w:tc>
        <w:tc>
          <w:tcPr>
            <w:tcW w:type="dxa" w:w="6236"/>
            <w:shd w:val="clear" w:color="auto" w:fill="F5F5F5"/>
          </w:tcPr>
          <w:p>
            <w:pPr>
              <w:spacing w:before="20" w:after="40"/>
            </w:pPr>
            <w:r/>
            <w:r>
              <w:rPr>
                <w:color w:val="1A1A1A"/>
                <w:sz w:val="20"/>
              </w:rPr>
              <w:t>AUM means the aggregate Rand value of assets under management across all active client portfolios managed by the Company, as reported in the BitWealth platform's NAV report at month-end. The Board confirms AUM achievement by resolution within 10 business days of the relevant month-end.</w:t>
            </w:r>
          </w:p>
        </w:tc>
      </w:tr>
      <w:tr>
        <w:tc>
          <w:tcPr>
            <w:tcW w:type="dxa" w:w="3118"/>
            <w:shd w:val="clear" w:color="auto" w:fill="FFFFFF"/>
          </w:tcPr>
          <w:p>
            <w:r/>
            <w:r>
              <w:rPr>
                <w:b/>
                <w:i w:val="0"/>
                <w:color w:val="1A1A1A"/>
                <w:sz w:val="20"/>
              </w:rPr>
              <w:t>Independence</w:t>
            </w:r>
          </w:p>
        </w:tc>
        <w:tc>
          <w:tcPr>
            <w:tcW w:type="dxa" w:w="6236"/>
            <w:shd w:val="clear" w:color="auto" w:fill="FFFFFF"/>
          </w:tcPr>
          <w:p>
            <w:pPr>
              <w:spacing w:before="20" w:after="40"/>
            </w:pPr>
            <w:r/>
            <w:r>
              <w:rPr>
                <w:color w:val="1A1A1A"/>
                <w:sz w:val="20"/>
              </w:rPr>
              <w:t>Each tranche is independent. Missing one milestone does not disqualify Simon from earning subsequent tranches, provided the later milestone is achieved within its own prescribed period. However, AUM milestones must be achieved in sequence — Tranche 3 cannot be triggered without Tranche 2 having been earned.</w:t>
            </w:r>
          </w:p>
        </w:tc>
      </w:tr>
      <w:tr>
        <w:tc>
          <w:tcPr>
            <w:tcW w:type="dxa" w:w="3118"/>
            <w:shd w:val="clear" w:color="auto" w:fill="F5F5F5"/>
          </w:tcPr>
          <w:p>
            <w:r/>
            <w:r>
              <w:rPr>
                <w:b/>
                <w:i w:val="0"/>
                <w:color w:val="1A1A1A"/>
                <w:sz w:val="20"/>
              </w:rPr>
              <w:t>Maximum Earn-In</w:t>
            </w:r>
          </w:p>
        </w:tc>
        <w:tc>
          <w:tcPr>
            <w:tcW w:type="dxa" w:w="6236"/>
            <w:shd w:val="clear" w:color="auto" w:fill="F5F5F5"/>
          </w:tcPr>
          <w:p>
            <w:pPr>
              <w:spacing w:before="20" w:after="40"/>
            </w:pPr>
            <w:r/>
            <w:r>
              <w:rPr>
                <w:color w:val="1A1A1A"/>
                <w:sz w:val="20"/>
              </w:rPr>
              <w:t>If all three milestones are achieved: Davin Cloete 60%, Simon Hobday 40%.</w:t>
            </w:r>
          </w:p>
        </w:tc>
      </w:tr>
      <w:tr>
        <w:tc>
          <w:tcPr>
            <w:tcW w:type="dxa" w:w="3118"/>
            <w:shd w:val="clear" w:color="auto" w:fill="FFFFFF"/>
          </w:tcPr>
          <w:p>
            <w:r/>
            <w:r>
              <w:rPr>
                <w:b/>
                <w:i w:val="0"/>
                <w:color w:val="1A1A1A"/>
                <w:sz w:val="20"/>
              </w:rPr>
              <w:t>Minimum Position</w:t>
            </w:r>
          </w:p>
        </w:tc>
        <w:tc>
          <w:tcPr>
            <w:tcW w:type="dxa" w:w="6236"/>
            <w:shd w:val="clear" w:color="auto" w:fill="FFFFFF"/>
          </w:tcPr>
          <w:p>
            <w:pPr>
              <w:spacing w:before="20" w:after="40"/>
            </w:pPr>
            <w:r/>
            <w:r>
              <w:rPr>
                <w:color w:val="1A1A1A"/>
                <w:sz w:val="20"/>
              </w:rPr>
              <w:t>Regardless of milestone outcome, Simon retains his founding 10% (subject to good/bad leaver provisions in Clause 8).</w:t>
            </w:r>
          </w:p>
        </w:tc>
      </w:tr>
    </w:tbl>
    <w:p>
      <w:pPr>
        <w:spacing w:after="80"/>
      </w:pPr>
    </w:p>
    <w:p>
      <w:pPr>
        <w:keepNext/>
        <w:spacing w:before="280" w:after="80"/>
      </w:pPr>
      <w:r>
        <w:rPr>
          <w:rFonts w:ascii="Calibri" w:hAnsi="Calibri"/>
          <w:b/>
          <w:color w:val="C9A227"/>
          <w:sz w:val="28"/>
        </w:rPr>
        <w:t>6.  MILESTONE FAILURE — OPTIONS FOR NEGOTIATION</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Overview</w:t>
            </w:r>
          </w:p>
        </w:tc>
        <w:tc>
          <w:tcPr>
            <w:tcW w:type="dxa" w:w="6236"/>
            <w:shd w:val="clear" w:color="auto" w:fill="F5F5F5"/>
          </w:tcPr>
          <w:p>
            <w:pPr>
              <w:spacing w:before="20" w:after="40"/>
            </w:pPr>
            <w:r/>
            <w:r>
              <w:rPr>
                <w:color w:val="1A1A1A"/>
                <w:sz w:val="20"/>
              </w:rPr>
              <w:t>The parties acknowledge that milestones may not always be achieved within the prescribed deadlines. Four options are set out below for negotiation. The parties will agree which option(s) apply in the final Shareholders' Agreement.</w:t>
            </w:r>
          </w:p>
        </w:tc>
      </w:tr>
      <w:tr>
        <w:tc>
          <w:tcPr>
            <w:tcW w:type="dxa" w:w="3118"/>
            <w:shd w:val="clear" w:color="auto" w:fill="FFFFFF"/>
          </w:tcPr>
          <w:p>
            <w:r/>
            <w:r>
              <w:rPr>
                <w:b/>
                <w:i w:val="0"/>
                <w:color w:val="1A1A1A"/>
                <w:sz w:val="20"/>
              </w:rPr>
              <w:t>OPTION A — Pure Lapse (Simplest)</w:t>
            </w:r>
          </w:p>
        </w:tc>
        <w:tc>
          <w:tcPr>
            <w:tcW w:type="dxa" w:w="6236"/>
            <w:shd w:val="clear" w:color="auto" w:fill="FFFFFF"/>
          </w:tcPr>
          <w:p>
            <w:pPr>
              <w:spacing w:before="20" w:after="40"/>
            </w:pPr>
            <w:r/>
            <w:r>
              <w:rPr>
                <w:color w:val="1A1A1A"/>
                <w:sz w:val="20"/>
              </w:rPr>
              <w:t>If the relevant AUM milestone is not achieved by the Deadline:</w:t>
            </w:r>
          </w:p>
          <w:p>
            <w:pPr>
              <w:spacing w:before="20" w:after="40"/>
            </w:pPr>
            <w:r>
              <w:rPr>
                <w:b/>
                <w:color w:val="1A1A1A"/>
                <w:sz w:val="20"/>
              </w:rPr>
              <w:t>(a) The unearned tranche automatically lapses with no further action required.</w:t>
            </w:r>
          </w:p>
          <w:p>
            <w:pPr>
              <w:spacing w:before="20" w:after="40"/>
            </w:pPr>
            <w:r>
              <w:rPr>
                <w:b/>
                <w:color w:val="1A1A1A"/>
                <w:sz w:val="20"/>
              </w:rPr>
              <w:t>(b) Simon retains all previously earned tranches.</w:t>
            </w:r>
          </w:p>
          <w:p>
            <w:pPr>
              <w:spacing w:before="20" w:after="40"/>
            </w:pPr>
            <w:r>
              <w:rPr>
                <w:b/>
                <w:color w:val="1A1A1A"/>
                <w:sz w:val="20"/>
              </w:rPr>
              <w:t>(c) The lapsed shares remain with Davin Cloete.</w:t>
            </w:r>
          </w:p>
          <w:p>
            <w:pPr>
              <w:spacing w:before="20" w:after="40"/>
            </w:pPr>
            <w:r>
              <w:rPr>
                <w:b/>
                <w:color w:val="1A1A1A"/>
                <w:sz w:val="20"/>
              </w:rPr>
              <w:t>(d) Simon has no right to compensation or further claims in respect of the lapsed tranche.</w:t>
            </w:r>
          </w:p>
          <w:p>
            <w:pPr>
              <w:spacing w:before="20" w:after="40"/>
            </w:pPr>
            <w:r>
              <w:rPr>
                <w:color w:val="1A1A1A"/>
                <w:sz w:val="20"/>
              </w:rPr>
              <w:t>ADVANTAGE: Clean, simple, no disputes about valuation.</w:t>
            </w:r>
          </w:p>
          <w:p>
            <w:pPr>
              <w:spacing w:before="20" w:after="40"/>
            </w:pPr>
            <w:r>
              <w:rPr>
                <w:color w:val="1A1A1A"/>
                <w:sz w:val="20"/>
              </w:rPr>
              <w:t>DISADVANTAGE: No flexibility for near-miss situations.</w:t>
            </w:r>
          </w:p>
        </w:tc>
      </w:tr>
      <w:tr>
        <w:tc>
          <w:tcPr>
            <w:tcW w:type="dxa" w:w="3118"/>
            <w:shd w:val="clear" w:color="auto" w:fill="F5F5F5"/>
          </w:tcPr>
          <w:p>
            <w:r/>
            <w:r>
              <w:rPr>
                <w:b/>
                <w:i w:val="0"/>
                <w:color w:val="1A1A1A"/>
                <w:sz w:val="20"/>
              </w:rPr>
              <w:t>OPTION B — Company Call Option at Par</w:t>
            </w:r>
          </w:p>
        </w:tc>
        <w:tc>
          <w:tcPr>
            <w:tcW w:type="dxa" w:w="6236"/>
            <w:shd w:val="clear" w:color="auto" w:fill="F5F5F5"/>
          </w:tcPr>
          <w:p>
            <w:pPr>
              <w:spacing w:before="20" w:after="40"/>
            </w:pPr>
            <w:r/>
            <w:r>
              <w:rPr>
                <w:color w:val="1A1A1A"/>
                <w:sz w:val="20"/>
              </w:rPr>
              <w:t>If the relevant AUM milestone is not achieved by the Deadline:</w:t>
            </w:r>
          </w:p>
          <w:p>
            <w:pPr>
              <w:spacing w:before="20" w:after="40"/>
            </w:pPr>
            <w:r>
              <w:rPr>
                <w:b/>
                <w:color w:val="1A1A1A"/>
                <w:sz w:val="20"/>
              </w:rPr>
              <w:t>(a) The unearned tranche lapses automatically.</w:t>
            </w:r>
          </w:p>
          <w:p>
            <w:pPr>
              <w:spacing w:before="20" w:after="40"/>
            </w:pPr>
            <w:r>
              <w:rPr>
                <w:b/>
                <w:color w:val="1A1A1A"/>
                <w:sz w:val="20"/>
              </w:rPr>
              <w:t>(b) BitWealth (or Davin Cloete) receives a 90-day call option to purchase the unearned shares from Simon at nominal/par value (R1.00 per share).</w:t>
            </w:r>
          </w:p>
          <w:p>
            <w:pPr>
              <w:spacing w:before="20" w:after="40"/>
            </w:pPr>
            <w:r>
              <w:rPr>
                <w:b/>
                <w:color w:val="1A1A1A"/>
                <w:sz w:val="20"/>
              </w:rPr>
              <w:t>(c) If the option is exercised, the shares transfer to Davin at R1 per share.</w:t>
            </w:r>
          </w:p>
          <w:p>
            <w:pPr>
              <w:spacing w:before="20" w:after="40"/>
            </w:pPr>
            <w:r>
              <w:rPr>
                <w:b/>
                <w:color w:val="1A1A1A"/>
                <w:sz w:val="20"/>
              </w:rPr>
              <w:t>(d) If the option lapses unexercised, the shares remain with Simon as unvested equity with no further earn-in rights attaching.</w:t>
            </w:r>
          </w:p>
          <w:p>
            <w:pPr>
              <w:spacing w:before="20" w:after="40"/>
            </w:pPr>
            <w:r>
              <w:rPr>
                <w:color w:val="1A1A1A"/>
                <w:sz w:val="20"/>
              </w:rPr>
              <w:t>ADVANTAGE: Gives the Company control over the share register.</w:t>
            </w:r>
          </w:p>
          <w:p>
            <w:pPr>
              <w:spacing w:before="20" w:after="40"/>
            </w:pPr>
            <w:r>
              <w:rPr>
                <w:color w:val="1A1A1A"/>
                <w:sz w:val="20"/>
              </w:rPr>
              <w:t>DISADVANTAGE: Creates administration and potential dispute.</w:t>
            </w:r>
          </w:p>
        </w:tc>
      </w:tr>
      <w:tr>
        <w:tc>
          <w:tcPr>
            <w:tcW w:type="dxa" w:w="3118"/>
            <w:shd w:val="clear" w:color="auto" w:fill="FFFFFF"/>
          </w:tcPr>
          <w:p>
            <w:r/>
            <w:r>
              <w:rPr>
                <w:b/>
                <w:i w:val="0"/>
                <w:color w:val="1A1A1A"/>
                <w:sz w:val="20"/>
              </w:rPr>
              <w:t>OPTION C — One-Time Extension with Penalty Reduction</w:t>
            </w:r>
          </w:p>
        </w:tc>
        <w:tc>
          <w:tcPr>
            <w:tcW w:type="dxa" w:w="6236"/>
            <w:shd w:val="clear" w:color="auto" w:fill="FFFFFF"/>
          </w:tcPr>
          <w:p>
            <w:pPr>
              <w:spacing w:before="20" w:after="40"/>
            </w:pPr>
            <w:r/>
            <w:r>
              <w:rPr>
                <w:color w:val="1A1A1A"/>
                <w:sz w:val="20"/>
              </w:rPr>
              <w:t>In respect of any ONE tranche per lifetime of this agreement:</w:t>
            </w:r>
          </w:p>
          <w:p>
            <w:pPr>
              <w:spacing w:before="20" w:after="40"/>
            </w:pPr>
            <w:r>
              <w:rPr>
                <w:b/>
                <w:color w:val="1A1A1A"/>
                <w:sz w:val="20"/>
              </w:rPr>
              <w:t>(a) The Board may (by unanimous resolution) grant a single 12-month extension.</w:t>
            </w:r>
          </w:p>
          <w:p>
            <w:pPr>
              <w:spacing w:before="20" w:after="40"/>
            </w:pPr>
            <w:r>
              <w:rPr>
                <w:b/>
                <w:color w:val="1A1A1A"/>
                <w:sz w:val="20"/>
              </w:rPr>
              <w:t>(b) The earn-in percentage for the extended tranche reduces from 10% to 7.5% (i.e., a 25% penalty for late achievement; Simon earns 75 shares instead of 100).</w:t>
            </w:r>
          </w:p>
          <w:p>
            <w:pPr>
              <w:spacing w:before="20" w:after="40"/>
            </w:pPr>
            <w:r>
              <w:rPr>
                <w:b/>
                <w:color w:val="1A1A1A"/>
                <w:sz w:val="20"/>
              </w:rPr>
              <w:t>(c) The remaining 25 shares are retained by Davin.</w:t>
            </w:r>
          </w:p>
          <w:p>
            <w:pPr>
              <w:spacing w:before="20" w:after="40"/>
            </w:pPr>
            <w:r>
              <w:rPr>
                <w:b/>
                <w:color w:val="1A1A1A"/>
                <w:sz w:val="20"/>
              </w:rPr>
              <w:t>(d) This option is available once only and cannot be applied to more than one tranche.</w:t>
            </w:r>
          </w:p>
          <w:p>
            <w:pPr>
              <w:spacing w:before="20" w:after="40"/>
            </w:pPr>
            <w:r>
              <w:rPr>
                <w:color w:val="1A1A1A"/>
                <w:sz w:val="20"/>
              </w:rPr>
              <w:t>ADVANTAGE: Rewards near-miss performance; maintains Simon's motivation.</w:t>
            </w:r>
          </w:p>
          <w:p>
            <w:pPr>
              <w:spacing w:before="20" w:after="40"/>
            </w:pPr>
            <w:r>
              <w:rPr>
                <w:color w:val="1A1A1A"/>
                <w:sz w:val="20"/>
              </w:rPr>
              <w:t>DISADVANTAGE: Complexity; potential disagreement on whether to grant extension.</w:t>
            </w:r>
          </w:p>
        </w:tc>
      </w:tr>
      <w:tr>
        <w:tc>
          <w:tcPr>
            <w:tcW w:type="dxa" w:w="3118"/>
            <w:shd w:val="clear" w:color="auto" w:fill="F5F5F5"/>
          </w:tcPr>
          <w:p>
            <w:r/>
            <w:r>
              <w:rPr>
                <w:b/>
                <w:i w:val="0"/>
                <w:color w:val="1A1A1A"/>
                <w:sz w:val="20"/>
              </w:rPr>
              <w:t>OPTION D — Formula Buyback on Lapse</w:t>
            </w:r>
          </w:p>
        </w:tc>
        <w:tc>
          <w:tcPr>
            <w:tcW w:type="dxa" w:w="6236"/>
            <w:shd w:val="clear" w:color="auto" w:fill="F5F5F5"/>
          </w:tcPr>
          <w:p>
            <w:pPr>
              <w:spacing w:before="20" w:after="40"/>
            </w:pPr>
            <w:r/>
            <w:r>
              <w:rPr>
                <w:color w:val="1A1A1A"/>
                <w:sz w:val="20"/>
              </w:rPr>
              <w:t>If the relevant milestone lapses and the parties wish to provide Simon some compensation for AUM growth (even if milestone missed):</w:t>
            </w:r>
          </w:p>
          <w:p>
            <w:pPr>
              <w:spacing w:before="20" w:after="40"/>
            </w:pPr>
            <w:r>
              <w:rPr>
                <w:b/>
                <w:color w:val="1A1A1A"/>
                <w:sz w:val="20"/>
              </w:rPr>
              <w:t>(a) The lapsed tranche is bought back by BitWealth at a formula price.</w:t>
            </w:r>
          </w:p>
          <w:p>
            <w:pPr>
              <w:spacing w:before="20" w:after="40"/>
            </w:pPr>
            <w:r>
              <w:rPr>
                <w:b/>
                <w:color w:val="1A1A1A"/>
                <w:sz w:val="20"/>
              </w:rPr>
              <w:t>(b) Formula: (Total AUM at Deadline × 0.5%) ÷ 100 shares = price per share.</w:t>
            </w:r>
          </w:p>
          <w:p>
            <w:pPr>
              <w:spacing w:before="20" w:after="40"/>
            </w:pPr>
            <w:r>
              <w:rPr>
                <w:color w:val="1A1A1A"/>
                <w:sz w:val="20"/>
              </w:rPr>
              <w:t>Example: AUM = R40m → price = (R40m × 0.5%) ÷ 100 = R2,000 per share (R200,000 for the tranche).</w:t>
            </w:r>
          </w:p>
          <w:p>
            <w:pPr>
              <w:spacing w:before="20" w:after="40"/>
            </w:pPr>
            <w:r>
              <w:rPr>
                <w:b/>
                <w:color w:val="1A1A1A"/>
                <w:sz w:val="20"/>
              </w:rPr>
              <w:t>(c) Payment deferred for 12 months from buy-back date.</w:t>
            </w:r>
          </w:p>
          <w:p>
            <w:pPr>
              <w:spacing w:before="20" w:after="40"/>
            </w:pPr>
            <w:r>
              <w:rPr>
                <w:color w:val="1A1A1A"/>
                <w:sz w:val="20"/>
              </w:rPr>
              <w:t>ADVANTAGE: Fair acknowledgement of AUM contribution even without full milestone.</w:t>
            </w:r>
          </w:p>
          <w:p>
            <w:pPr>
              <w:spacing w:before="20" w:after="40"/>
            </w:pPr>
            <w:r>
              <w:rPr>
                <w:color w:val="1A1A1A"/>
                <w:sz w:val="20"/>
              </w:rPr>
              <w:t>DISADVANTAGE: Cash outflow from Company; creates valuation arguments.</w:t>
            </w:r>
          </w:p>
        </w:tc>
      </w:tr>
      <w:tr>
        <w:tc>
          <w:tcPr>
            <w:tcW w:type="dxa" w:w="3118"/>
            <w:shd w:val="clear" w:color="auto" w:fill="FFFFFF"/>
          </w:tcPr>
          <w:p>
            <w:r/>
            <w:r>
              <w:rPr>
                <w:b/>
                <w:i w:val="0"/>
                <w:color w:val="1A1A1A"/>
                <w:sz w:val="20"/>
              </w:rPr>
              <w:t>Recommendation</w:t>
            </w:r>
          </w:p>
        </w:tc>
        <w:tc>
          <w:tcPr>
            <w:tcW w:type="dxa" w:w="6236"/>
            <w:shd w:val="clear" w:color="auto" w:fill="FFFFFF"/>
          </w:tcPr>
          <w:p>
            <w:pPr>
              <w:spacing w:before="20" w:after="40"/>
            </w:pPr>
            <w:r/>
            <w:r>
              <w:rPr>
                <w:color w:val="1A1A1A"/>
                <w:sz w:val="20"/>
              </w:rPr>
              <w:t>Davin's preference is OPTION A (Pure Lapse) for Tranches 2 and 3, with OPTION C (One-time extension) available for Tranche 1 only, given the early stage of the business. This is subject to negotiation.</w:t>
            </w:r>
          </w:p>
        </w:tc>
      </w:tr>
    </w:tbl>
    <w:p>
      <w:pPr>
        <w:spacing w:after="80"/>
      </w:pPr>
    </w:p>
    <w:p>
      <w:pPr>
        <w:keepNext/>
        <w:spacing w:before="280" w:after="80"/>
      </w:pPr>
      <w:r>
        <w:rPr>
          <w:rFonts w:ascii="Calibri" w:hAnsi="Calibri"/>
          <w:b/>
          <w:color w:val="C9A227"/>
          <w:sz w:val="28"/>
        </w:rPr>
        <w:t>7.  FSP ARRANGEMENT — FINOVA CAPITAL</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FSP Holder</w:t>
            </w:r>
          </w:p>
        </w:tc>
        <w:tc>
          <w:tcPr>
            <w:tcW w:type="dxa" w:w="6236"/>
            <w:shd w:val="clear" w:color="auto" w:fill="F5F5F5"/>
          </w:tcPr>
          <w:p>
            <w:pPr>
              <w:spacing w:before="20" w:after="40"/>
            </w:pPr>
            <w:r/>
            <w:r>
              <w:rPr>
                <w:color w:val="1A1A1A"/>
                <w:sz w:val="20"/>
              </w:rPr>
              <w:t>Finova Capital (Pty) Ltd (FSP No. [●]).</w:t>
            </w:r>
          </w:p>
        </w:tc>
      </w:tr>
      <w:tr>
        <w:tc>
          <w:tcPr>
            <w:tcW w:type="dxa" w:w="3118"/>
            <w:shd w:val="clear" w:color="auto" w:fill="FFFFFF"/>
          </w:tcPr>
          <w:p>
            <w:r/>
            <w:r>
              <w:rPr>
                <w:b/>
                <w:i w:val="0"/>
                <w:color w:val="1A1A1A"/>
                <w:sz w:val="20"/>
              </w:rPr>
              <w:t>JR Appointment</w:t>
            </w:r>
          </w:p>
        </w:tc>
        <w:tc>
          <w:tcPr>
            <w:tcW w:type="dxa" w:w="6236"/>
            <w:shd w:val="clear" w:color="auto" w:fill="FFFFFF"/>
          </w:tcPr>
          <w:p>
            <w:pPr>
              <w:spacing w:before="20" w:after="40"/>
            </w:pPr>
            <w:r/>
            <w:r>
              <w:rPr>
                <w:color w:val="1A1A1A"/>
                <w:sz w:val="20"/>
              </w:rPr>
              <w:t>BitWealth (Pty) Ltd will be appointed as a Juristic Representative under Finova Capital's FSP licence.</w:t>
            </w:r>
          </w:p>
          <w:p>
            <w:pPr>
              <w:spacing w:before="20" w:after="40"/>
            </w:pPr>
            <w:r>
              <w:rPr>
                <w:color w:val="1A1A1A"/>
                <w:sz w:val="20"/>
              </w:rPr>
              <w:t>Terms: 20% of all performance fees + 50% of all platform fees payable to Finova Capital as revenue share. No fixed monthly hosting fee.</w:t>
            </w:r>
          </w:p>
        </w:tc>
      </w:tr>
      <w:tr>
        <w:tc>
          <w:tcPr>
            <w:tcW w:type="dxa" w:w="3118"/>
            <w:shd w:val="clear" w:color="auto" w:fill="F5F5F5"/>
          </w:tcPr>
          <w:p>
            <w:r/>
            <w:r>
              <w:rPr>
                <w:b/>
                <w:i w:val="0"/>
                <w:color w:val="1A1A1A"/>
                <w:sz w:val="20"/>
              </w:rPr>
              <w:t>Simon's FAIS Role</w:t>
            </w:r>
          </w:p>
        </w:tc>
        <w:tc>
          <w:tcPr>
            <w:tcW w:type="dxa" w:w="6236"/>
            <w:shd w:val="clear" w:color="auto" w:fill="F5F5F5"/>
          </w:tcPr>
          <w:p>
            <w:pPr>
              <w:spacing w:before="20" w:after="40"/>
            </w:pPr>
            <w:r/>
            <w:r>
              <w:rPr>
                <w:color w:val="1A1A1A"/>
                <w:sz w:val="20"/>
              </w:rPr>
              <w:t>Simon may be appointed as a Representative under Finova Capital's licence, subject to completion of all required FAIS fit-and-proper requirements (RE1, RE5, relevant qualifications as required by Finova).</w:t>
            </w:r>
          </w:p>
        </w:tc>
      </w:tr>
      <w:tr>
        <w:tc>
          <w:tcPr>
            <w:tcW w:type="dxa" w:w="3118"/>
            <w:shd w:val="clear" w:color="auto" w:fill="FFFFFF"/>
          </w:tcPr>
          <w:p>
            <w:r/>
            <w:r>
              <w:rPr>
                <w:b/>
                <w:i w:val="0"/>
                <w:color w:val="1A1A1A"/>
                <w:sz w:val="20"/>
              </w:rPr>
              <w:t>CAEP Transition</w:t>
            </w:r>
          </w:p>
        </w:tc>
        <w:tc>
          <w:tcPr>
            <w:tcW w:type="dxa" w:w="6236"/>
            <w:shd w:val="clear" w:color="auto" w:fill="FFFFFF"/>
          </w:tcPr>
          <w:p>
            <w:pPr>
              <w:spacing w:before="20" w:after="40"/>
            </w:pPr>
            <w:r/>
            <w:r>
              <w:rPr>
                <w:color w:val="1A1A1A"/>
                <w:sz w:val="20"/>
              </w:rPr>
              <w:t>The Company has decided NOT to proceed with CAEP Compliance as FSP host. The Finova Capital arrangement is the Company's chosen regulatory structure. Simon's compensation does not change based on FSP selection.</w:t>
            </w:r>
          </w:p>
        </w:tc>
      </w:tr>
      <w:tr>
        <w:tc>
          <w:tcPr>
            <w:tcW w:type="dxa" w:w="3118"/>
            <w:shd w:val="clear" w:color="auto" w:fill="F5F5F5"/>
          </w:tcPr>
          <w:p>
            <w:r/>
            <w:r>
              <w:rPr>
                <w:b/>
                <w:i w:val="0"/>
                <w:color w:val="1A1A1A"/>
                <w:sz w:val="20"/>
              </w:rPr>
              <w:t>Regulatory Risk</w:t>
            </w:r>
          </w:p>
        </w:tc>
        <w:tc>
          <w:tcPr>
            <w:tcW w:type="dxa" w:w="6236"/>
            <w:shd w:val="clear" w:color="auto" w:fill="F5F5F5"/>
          </w:tcPr>
          <w:p>
            <w:pPr>
              <w:spacing w:before="20" w:after="40"/>
            </w:pPr>
            <w:r/>
            <w:r>
              <w:rPr>
                <w:color w:val="1A1A1A"/>
                <w:sz w:val="20"/>
              </w:rPr>
              <w:t>Simon acknowledges that the Finova Capital JR arrangement is subject to regulatory approval and ongoing compliance. Loss of JR status would materially impact the Company's ability to operate.</w:t>
            </w:r>
          </w:p>
        </w:tc>
      </w:tr>
    </w:tbl>
    <w:p>
      <w:pPr>
        <w:spacing w:after="80"/>
      </w:pPr>
    </w:p>
    <w:p>
      <w:pPr>
        <w:keepNext/>
        <w:spacing w:before="280" w:after="80"/>
      </w:pPr>
      <w:r>
        <w:rPr>
          <w:rFonts w:ascii="Calibri" w:hAnsi="Calibri"/>
          <w:b/>
          <w:color w:val="C9A227"/>
          <w:sz w:val="28"/>
        </w:rPr>
        <w:t>8.  PROTECTIVE PROVISIONS</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Good Leaver Definition</w:t>
            </w:r>
          </w:p>
        </w:tc>
        <w:tc>
          <w:tcPr>
            <w:tcW w:type="dxa" w:w="6236"/>
            <w:shd w:val="clear" w:color="auto" w:fill="F5F5F5"/>
          </w:tcPr>
          <w:p>
            <w:pPr>
              <w:spacing w:before="20" w:after="40"/>
            </w:pPr>
            <w:r/>
            <w:r>
              <w:rPr>
                <w:color w:val="1A1A1A"/>
                <w:sz w:val="20"/>
              </w:rPr>
              <w:t>Simon is a 'Good Leaver' if his association with the Company ends by reason of:</w:t>
            </w:r>
          </w:p>
          <w:p>
            <w:pPr>
              <w:spacing w:before="20" w:after="40"/>
            </w:pPr>
            <w:r>
              <w:rPr>
                <w:b/>
                <w:color w:val="1A1A1A"/>
                <w:sz w:val="20"/>
              </w:rPr>
              <w:t>(a) Death or permanent total disability;</w:t>
            </w:r>
          </w:p>
          <w:p>
            <w:pPr>
              <w:spacing w:before="20" w:after="40"/>
            </w:pPr>
            <w:r>
              <w:rPr>
                <w:b/>
                <w:color w:val="1A1A1A"/>
                <w:sz w:val="20"/>
              </w:rPr>
              <w:t>(b) Retirement at or after age 65;</w:t>
            </w:r>
          </w:p>
          <w:p>
            <w:pPr>
              <w:spacing w:before="20" w:after="40"/>
            </w:pPr>
            <w:r>
              <w:rPr>
                <w:b/>
                <w:color w:val="1A1A1A"/>
                <w:sz w:val="20"/>
              </w:rPr>
              <w:t>(c) Termination by the Company without cause or material breach by the Company.</w:t>
            </w:r>
          </w:p>
          <w:p>
            <w:pPr>
              <w:spacing w:before="20" w:after="40"/>
            </w:pPr>
            <w:r>
              <w:rPr>
                <w:color w:val="1A1A1A"/>
                <w:sz w:val="20"/>
              </w:rPr>
              <w:t>Good Leaver consequence: Simon retains all earned tranches; unearned tranches lapse per Clause 6.</w:t>
            </w:r>
          </w:p>
        </w:tc>
      </w:tr>
      <w:tr>
        <w:tc>
          <w:tcPr>
            <w:tcW w:type="dxa" w:w="3118"/>
            <w:shd w:val="clear" w:color="auto" w:fill="FFFFFF"/>
          </w:tcPr>
          <w:p>
            <w:r/>
            <w:r>
              <w:rPr>
                <w:b/>
                <w:i w:val="0"/>
                <w:color w:val="1A1A1A"/>
                <w:sz w:val="20"/>
              </w:rPr>
              <w:t>Bad Leaver Definition</w:t>
            </w:r>
          </w:p>
        </w:tc>
        <w:tc>
          <w:tcPr>
            <w:tcW w:type="dxa" w:w="6236"/>
            <w:shd w:val="clear" w:color="auto" w:fill="FFFFFF"/>
          </w:tcPr>
          <w:p>
            <w:pPr>
              <w:spacing w:before="20" w:after="40"/>
            </w:pPr>
            <w:r/>
            <w:r>
              <w:rPr>
                <w:color w:val="1A1A1A"/>
                <w:sz w:val="20"/>
              </w:rPr>
              <w:t>Simon is a 'Bad Leaver' if his association with the Company ends by reason of:</w:t>
            </w:r>
          </w:p>
          <w:p>
            <w:pPr>
              <w:spacing w:before="20" w:after="40"/>
            </w:pPr>
            <w:r>
              <w:rPr>
                <w:b/>
                <w:color w:val="1A1A1A"/>
                <w:sz w:val="20"/>
              </w:rPr>
              <w:t>(a) Voluntary resignation with less than 3 months' written notice;</w:t>
            </w:r>
          </w:p>
          <w:p>
            <w:pPr>
              <w:spacing w:before="20" w:after="40"/>
            </w:pPr>
            <w:r>
              <w:rPr>
                <w:b/>
                <w:color w:val="1A1A1A"/>
                <w:sz w:val="20"/>
              </w:rPr>
              <w:t>(b) Dismissal for misconduct, fraud, dishonesty, or material breach of fiduciary duty;</w:t>
            </w:r>
          </w:p>
          <w:p>
            <w:pPr>
              <w:spacing w:before="20" w:after="40"/>
            </w:pPr>
            <w:r>
              <w:rPr>
                <w:b/>
                <w:color w:val="1A1A1A"/>
                <w:sz w:val="20"/>
              </w:rPr>
              <w:t>(c) Any act that causes the Company to lose its Finova Capital JR status;</w:t>
            </w:r>
          </w:p>
          <w:p>
            <w:pPr>
              <w:spacing w:before="20" w:after="40"/>
            </w:pPr>
            <w:r>
              <w:rPr>
                <w:b/>
                <w:color w:val="1A1A1A"/>
                <w:sz w:val="20"/>
              </w:rPr>
              <w:t>(d) Competitive activity in breach of the non-compete clause below.</w:t>
            </w:r>
          </w:p>
          <w:p>
            <w:pPr>
              <w:spacing w:before="20" w:after="40"/>
            </w:pPr>
            <w:r>
              <w:rPr>
                <w:color w:val="1A1A1A"/>
                <w:sz w:val="20"/>
              </w:rPr>
              <w:t>Bad Leaver consequence: All shares (including founding 10%) subject to compulsory transfer to Davin Cloete at par value (R1.00 per share) within 30 days of the leaver event.</w:t>
            </w:r>
          </w:p>
        </w:tc>
      </w:tr>
      <w:tr>
        <w:tc>
          <w:tcPr>
            <w:tcW w:type="dxa" w:w="3118"/>
            <w:shd w:val="clear" w:color="auto" w:fill="F5F5F5"/>
          </w:tcPr>
          <w:p>
            <w:r/>
            <w:r>
              <w:rPr>
                <w:b/>
                <w:i w:val="0"/>
                <w:color w:val="1A1A1A"/>
                <w:sz w:val="20"/>
              </w:rPr>
              <w:t>Non-Compete</w:t>
            </w:r>
          </w:p>
        </w:tc>
        <w:tc>
          <w:tcPr>
            <w:tcW w:type="dxa" w:w="6236"/>
            <w:shd w:val="clear" w:color="auto" w:fill="F5F5F5"/>
          </w:tcPr>
          <w:p>
            <w:pPr>
              <w:spacing w:before="20" w:after="40"/>
            </w:pPr>
            <w:r/>
            <w:r>
              <w:rPr>
                <w:color w:val="1A1A1A"/>
                <w:sz w:val="20"/>
              </w:rPr>
              <w:t>During the period Simon holds equity AND for 24 months after any transfer or forfeiture of his equity, Simon shall not, directly or indirectly:</w:t>
            </w:r>
          </w:p>
          <w:p>
            <w:pPr>
              <w:spacing w:before="20" w:after="40"/>
            </w:pPr>
            <w:r>
              <w:rPr>
                <w:b/>
                <w:color w:val="1A1A1A"/>
                <w:sz w:val="20"/>
              </w:rPr>
              <w:t>(a) Be employed by, consult for, or hold any interest in a competing Bitcoin DCA or cryptocurrency investment management business in South Africa;</w:t>
            </w:r>
          </w:p>
          <w:p>
            <w:pPr>
              <w:spacing w:before="20" w:after="40"/>
            </w:pPr>
            <w:r>
              <w:rPr>
                <w:b/>
                <w:color w:val="1A1A1A"/>
                <w:sz w:val="20"/>
              </w:rPr>
              <w:t>(b) Solicit any client of the Company to transfer their assets to a competitor;</w:t>
            </w:r>
          </w:p>
          <w:p>
            <w:pPr>
              <w:spacing w:before="20" w:after="40"/>
            </w:pPr>
            <w:r>
              <w:rPr>
                <w:b/>
                <w:color w:val="1A1A1A"/>
                <w:sz w:val="20"/>
              </w:rPr>
              <w:t>(c) Solicit any employee or contractor of the Company to leave their engagement.</w:t>
            </w:r>
          </w:p>
          <w:p>
            <w:pPr>
              <w:spacing w:before="20" w:after="40"/>
            </w:pPr>
            <w:r>
              <w:rPr>
                <w:color w:val="1A1A1A"/>
                <w:sz w:val="20"/>
              </w:rPr>
              <w:t>The non-compete radius is the Republic of South Africa.</w:t>
            </w:r>
          </w:p>
        </w:tc>
      </w:tr>
      <w:tr>
        <w:tc>
          <w:tcPr>
            <w:tcW w:type="dxa" w:w="3118"/>
            <w:shd w:val="clear" w:color="auto" w:fill="FFFFFF"/>
          </w:tcPr>
          <w:p>
            <w:r/>
            <w:r>
              <w:rPr>
                <w:b/>
                <w:i w:val="0"/>
                <w:color w:val="1A1A1A"/>
                <w:sz w:val="20"/>
              </w:rPr>
              <w:t>Drag-Along</w:t>
            </w:r>
          </w:p>
        </w:tc>
        <w:tc>
          <w:tcPr>
            <w:tcW w:type="dxa" w:w="6236"/>
            <w:shd w:val="clear" w:color="auto" w:fill="FFFFFF"/>
          </w:tcPr>
          <w:p>
            <w:pPr>
              <w:spacing w:before="20" w:after="40"/>
            </w:pPr>
            <w:r/>
            <w:r>
              <w:rPr>
                <w:color w:val="1A1A1A"/>
                <w:sz w:val="20"/>
              </w:rPr>
              <w:t>If Davin Cloete (and/or his associates) receives a bona fide offer to acquire ≥ 75% of the Company's shares, Simon is obliged to sell his pro-rata shares on the same terms and conditions as the Founder. This prevents Simon from blocking a sale that is supported by the majority shareholder.</w:t>
            </w:r>
          </w:p>
        </w:tc>
      </w:tr>
      <w:tr>
        <w:tc>
          <w:tcPr>
            <w:tcW w:type="dxa" w:w="3118"/>
            <w:shd w:val="clear" w:color="auto" w:fill="F5F5F5"/>
          </w:tcPr>
          <w:p>
            <w:r/>
            <w:r>
              <w:rPr>
                <w:b/>
                <w:i w:val="0"/>
                <w:color w:val="1A1A1A"/>
                <w:sz w:val="20"/>
              </w:rPr>
              <w:t>Tag-Along</w:t>
            </w:r>
          </w:p>
        </w:tc>
        <w:tc>
          <w:tcPr>
            <w:tcW w:type="dxa" w:w="6236"/>
            <w:shd w:val="clear" w:color="auto" w:fill="F5F5F5"/>
          </w:tcPr>
          <w:p>
            <w:pPr>
              <w:spacing w:before="20" w:after="40"/>
            </w:pPr>
            <w:r/>
            <w:r>
              <w:rPr>
                <w:color w:val="1A1A1A"/>
                <w:sz w:val="20"/>
              </w:rPr>
              <w:t>If Davin Cloete proposes to sell more than 50% of his shares to a third party, Simon has the right (but not the obligation) to include his shares in the sale on equivalent terms and at the same price per share. This protects Simon from being left as a minority in a company with a new controlling shareholder.</w:t>
            </w:r>
          </w:p>
        </w:tc>
      </w:tr>
      <w:tr>
        <w:tc>
          <w:tcPr>
            <w:tcW w:type="dxa" w:w="3118"/>
            <w:shd w:val="clear" w:color="auto" w:fill="FFFFFF"/>
          </w:tcPr>
          <w:p>
            <w:r/>
            <w:r>
              <w:rPr>
                <w:b/>
                <w:i w:val="0"/>
                <w:color w:val="1A1A1A"/>
                <w:sz w:val="20"/>
              </w:rPr>
              <w:t>Regulatory Clawback</w:t>
            </w:r>
          </w:p>
        </w:tc>
        <w:tc>
          <w:tcPr>
            <w:tcW w:type="dxa" w:w="6236"/>
            <w:shd w:val="clear" w:color="auto" w:fill="FFFFFF"/>
          </w:tcPr>
          <w:p>
            <w:pPr>
              <w:spacing w:before="20" w:after="40"/>
            </w:pPr>
            <w:r/>
            <w:r>
              <w:rPr>
                <w:color w:val="1A1A1A"/>
                <w:sz w:val="20"/>
              </w:rPr>
              <w:t>In the event that Simon's actions or omissions (including any act of misconduct, negligence, or regulatory breach in his capacity as a FAIS Representative) directly cause the Company to lose, suspend, or materially compromise its Finova Capital JR status, the Company may, by Board resolution, initiate a clawback of any earn-in tranches awarded within the preceding 24 months at par value (R1.00 per share). Davin Cloete's founding shares are not affected by this provision.</w:t>
            </w:r>
          </w:p>
        </w:tc>
      </w:tr>
      <w:tr>
        <w:tc>
          <w:tcPr>
            <w:tcW w:type="dxa" w:w="3118"/>
            <w:shd w:val="clear" w:color="auto" w:fill="F5F5F5"/>
          </w:tcPr>
          <w:p>
            <w:r/>
            <w:r>
              <w:rPr>
                <w:b/>
                <w:i w:val="0"/>
                <w:color w:val="1A1A1A"/>
                <w:sz w:val="20"/>
              </w:rPr>
              <w:t>Anti-Dilution</w:t>
            </w:r>
          </w:p>
        </w:tc>
        <w:tc>
          <w:tcPr>
            <w:tcW w:type="dxa" w:w="6236"/>
            <w:shd w:val="clear" w:color="auto" w:fill="F5F5F5"/>
          </w:tcPr>
          <w:p>
            <w:pPr>
              <w:spacing w:before="20" w:after="40"/>
            </w:pPr>
            <w:r/>
            <w:r>
              <w:rPr>
                <w:color w:val="1A1A1A"/>
                <w:sz w:val="20"/>
              </w:rPr>
              <w:t>Simon's founding 10% and any earned tranche shares are protected against dilution arising from any future issuance of shares unless Simon provides written consent. If new shares are issued (e.g., to raise capital), Simon's anti-dilution rights entitle him to a pro-rata right of first offer to subscribe for new shares at the same price as the new investor.</w:t>
            </w:r>
          </w:p>
        </w:tc>
      </w:tr>
    </w:tbl>
    <w:p>
      <w:pPr>
        <w:spacing w:after="80"/>
      </w:pPr>
    </w:p>
    <w:p>
      <w:pPr>
        <w:keepNext/>
        <w:spacing w:before="280" w:after="80"/>
      </w:pPr>
      <w:r>
        <w:rPr>
          <w:rFonts w:ascii="Calibri" w:hAnsi="Calibri"/>
          <w:b/>
          <w:color w:val="C9A227"/>
          <w:sz w:val="28"/>
        </w:rPr>
        <w:t>9.  SHARE TRANSFER MECHANISM</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Transfer Method</w:t>
            </w:r>
          </w:p>
        </w:tc>
        <w:tc>
          <w:tcPr>
            <w:tcW w:type="dxa" w:w="6236"/>
            <w:shd w:val="clear" w:color="auto" w:fill="F5F5F5"/>
          </w:tcPr>
          <w:p>
            <w:pPr>
              <w:spacing w:before="20" w:after="40"/>
            </w:pPr>
            <w:r/>
            <w:r>
              <w:rPr>
                <w:color w:val="1A1A1A"/>
                <w:sz w:val="20"/>
              </w:rPr>
              <w:t>All share transfers under this agreement will be effected by execution of a share transfer form and updating the Company's share register, filed with CIPC if required under the Companies Act, 71 of 2008.</w:t>
            </w:r>
          </w:p>
        </w:tc>
      </w:tr>
      <w:tr>
        <w:tc>
          <w:tcPr>
            <w:tcW w:type="dxa" w:w="3118"/>
            <w:shd w:val="clear" w:color="auto" w:fill="FFFFFF"/>
          </w:tcPr>
          <w:p>
            <w:r/>
            <w:r>
              <w:rPr>
                <w:b/>
                <w:i w:val="0"/>
                <w:color w:val="1A1A1A"/>
                <w:sz w:val="20"/>
              </w:rPr>
              <w:t>Trigger Events</w:t>
            </w:r>
          </w:p>
        </w:tc>
        <w:tc>
          <w:tcPr>
            <w:tcW w:type="dxa" w:w="6236"/>
            <w:shd w:val="clear" w:color="auto" w:fill="FFFFFF"/>
          </w:tcPr>
          <w:p>
            <w:pPr>
              <w:spacing w:before="20" w:after="40"/>
            </w:pPr>
            <w:r/>
            <w:r>
              <w:rPr>
                <w:color w:val="1A1A1A"/>
                <w:sz w:val="20"/>
              </w:rPr>
              <w:t>A transfer is triggered upon:</w:t>
            </w:r>
          </w:p>
          <w:p>
            <w:pPr>
              <w:spacing w:before="20" w:after="40"/>
            </w:pPr>
            <w:r>
              <w:rPr>
                <w:b/>
                <w:color w:val="1A1A1A"/>
                <w:sz w:val="20"/>
              </w:rPr>
              <w:t>(a) Signing date (founding 10%), or</w:t>
            </w:r>
          </w:p>
          <w:p>
            <w:pPr>
              <w:spacing w:before="20" w:after="40"/>
            </w:pPr>
            <w:r>
              <w:rPr>
                <w:b/>
                <w:color w:val="1A1A1A"/>
                <w:sz w:val="20"/>
              </w:rPr>
              <w:t>(b) Board resolution confirming milestone achievement (earn-in tranches), or</w:t>
            </w:r>
          </w:p>
          <w:p>
            <w:pPr>
              <w:spacing w:before="20" w:after="40"/>
            </w:pPr>
            <w:r>
              <w:rPr>
                <w:b/>
                <w:color w:val="1A1A1A"/>
                <w:sz w:val="20"/>
              </w:rPr>
              <w:t>(c) Leaver event (as defined in Clause 8).</w:t>
            </w:r>
          </w:p>
        </w:tc>
      </w:tr>
      <w:tr>
        <w:tc>
          <w:tcPr>
            <w:tcW w:type="dxa" w:w="3118"/>
            <w:shd w:val="clear" w:color="auto" w:fill="F5F5F5"/>
          </w:tcPr>
          <w:p>
            <w:r/>
            <w:r>
              <w:rPr>
                <w:b/>
                <w:i w:val="0"/>
                <w:color w:val="1A1A1A"/>
                <w:sz w:val="20"/>
              </w:rPr>
              <w:t>Transfer Costs</w:t>
            </w:r>
          </w:p>
        </w:tc>
        <w:tc>
          <w:tcPr>
            <w:tcW w:type="dxa" w:w="6236"/>
            <w:shd w:val="clear" w:color="auto" w:fill="F5F5F5"/>
          </w:tcPr>
          <w:p>
            <w:pPr>
              <w:spacing w:before="20" w:after="40"/>
            </w:pPr>
            <w:r/>
            <w:r>
              <w:rPr>
                <w:color w:val="1A1A1A"/>
                <w:sz w:val="20"/>
              </w:rPr>
              <w:t>All costs associated with share transfers (including any securities transfer tax under the Securities Transfer Tax Act, 25 of 2007) will be borne by the Company.</w:t>
            </w:r>
          </w:p>
        </w:tc>
      </w:tr>
      <w:tr>
        <w:tc>
          <w:tcPr>
            <w:tcW w:type="dxa" w:w="3118"/>
            <w:shd w:val="clear" w:color="auto" w:fill="FFFFFF"/>
          </w:tcPr>
          <w:p>
            <w:r/>
            <w:r>
              <w:rPr>
                <w:b/>
                <w:i w:val="0"/>
                <w:color w:val="1A1A1A"/>
                <w:sz w:val="20"/>
              </w:rPr>
              <w:t>Pre-emptive Rights</w:t>
            </w:r>
          </w:p>
        </w:tc>
        <w:tc>
          <w:tcPr>
            <w:tcW w:type="dxa" w:w="6236"/>
            <w:shd w:val="clear" w:color="auto" w:fill="FFFFFF"/>
          </w:tcPr>
          <w:p>
            <w:pPr>
              <w:spacing w:before="20" w:after="40"/>
            </w:pPr>
            <w:r/>
            <w:r>
              <w:rPr>
                <w:color w:val="1A1A1A"/>
                <w:sz w:val="20"/>
              </w:rPr>
              <w:t>Before any proposed transfer of shares to a third party, the other shareholder has a right of first refusal at the same price and terms as the proposed transfer.</w:t>
            </w:r>
          </w:p>
        </w:tc>
      </w:tr>
    </w:tbl>
    <w:p>
      <w:pPr>
        <w:spacing w:after="80"/>
      </w:pPr>
    </w:p>
    <w:p>
      <w:pPr>
        <w:keepNext/>
        <w:spacing w:before="280" w:after="80"/>
      </w:pPr>
      <w:r>
        <w:rPr>
          <w:rFonts w:ascii="Calibri" w:hAnsi="Calibri"/>
          <w:b/>
          <w:color w:val="C9A227"/>
          <w:sz w:val="28"/>
        </w:rPr>
        <w:t>10.  CONDITIONS PRECEDENT</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CPs to Signing</w:t>
            </w:r>
          </w:p>
        </w:tc>
        <w:tc>
          <w:tcPr>
            <w:tcW w:type="dxa" w:w="6236"/>
            <w:shd w:val="clear" w:color="auto" w:fill="F5F5F5"/>
          </w:tcPr>
          <w:p>
            <w:pPr>
              <w:spacing w:before="20" w:after="40"/>
            </w:pPr>
            <w:r/>
            <w:r>
              <w:rPr>
                <w:color w:val="1A1A1A"/>
                <w:sz w:val="20"/>
              </w:rPr>
              <w:t>The equity participation arrangement is conditional on:</w:t>
            </w:r>
          </w:p>
          <w:p>
            <w:pPr>
              <w:spacing w:before="20" w:after="40"/>
            </w:pPr>
            <w:r>
              <w:rPr>
                <w:b/>
                <w:color w:val="1A1A1A"/>
                <w:sz w:val="20"/>
              </w:rPr>
              <w:t>(a) Execution of a Shareholders' Agreement in agreed form;</w:t>
            </w:r>
          </w:p>
          <w:p>
            <w:pPr>
              <w:spacing w:before="20" w:after="40"/>
            </w:pPr>
            <w:r>
              <w:rPr>
                <w:b/>
                <w:color w:val="1A1A1A"/>
                <w:sz w:val="20"/>
              </w:rPr>
              <w:t>(b) Execution of an Equity Participation Agreement in agreed form;</w:t>
            </w:r>
          </w:p>
          <w:p>
            <w:pPr>
              <w:spacing w:before="20" w:after="40"/>
            </w:pPr>
            <w:r>
              <w:rPr>
                <w:b/>
                <w:color w:val="1A1A1A"/>
                <w:sz w:val="20"/>
              </w:rPr>
              <w:t>(c) Simon confirming in writing that he has obtained independent legal advice;</w:t>
            </w:r>
          </w:p>
          <w:p>
            <w:pPr>
              <w:spacing w:before="20" w:after="40"/>
            </w:pPr>
            <w:r>
              <w:rPr>
                <w:b/>
                <w:color w:val="1A1A1A"/>
                <w:sz w:val="20"/>
              </w:rPr>
              <w:t>(d) Finova Capital confirming BitWealth's JR appointment or providing a letter of intent to appoint;</w:t>
            </w:r>
          </w:p>
          <w:p>
            <w:pPr>
              <w:spacing w:before="20" w:after="40"/>
            </w:pPr>
            <w:r>
              <w:rPr>
                <w:color w:val="1A1A1A"/>
                <w:sz w:val="20"/>
              </w:rPr>
              <w:t>(e) Confirmation that Simon meets the minimum FAIS fit-and-proper requirements applicable to his intended representative role.</w:t>
            </w:r>
          </w:p>
        </w:tc>
      </w:tr>
      <w:tr>
        <w:tc>
          <w:tcPr>
            <w:tcW w:type="dxa" w:w="3118"/>
            <w:shd w:val="clear" w:color="auto" w:fill="FFFFFF"/>
          </w:tcPr>
          <w:p>
            <w:r/>
            <w:r>
              <w:rPr>
                <w:b/>
                <w:i w:val="0"/>
                <w:color w:val="1A1A1A"/>
                <w:sz w:val="20"/>
              </w:rPr>
              <w:t>Exclusivity</w:t>
            </w:r>
          </w:p>
        </w:tc>
        <w:tc>
          <w:tcPr>
            <w:tcW w:type="dxa" w:w="6236"/>
            <w:shd w:val="clear" w:color="auto" w:fill="FFFFFF"/>
          </w:tcPr>
          <w:p>
            <w:pPr>
              <w:spacing w:before="20" w:after="40"/>
            </w:pPr>
            <w:r/>
            <w:r>
              <w:rPr>
                <w:color w:val="1A1A1A"/>
                <w:sz w:val="20"/>
              </w:rPr>
              <w:t>From the date both parties sign this term sheet, Simon will not enter into discussions with any other fintech, crypto, or investment management company regarding a similar equity or business development arrangement for 60 days.</w:t>
            </w:r>
          </w:p>
        </w:tc>
      </w:tr>
    </w:tbl>
    <w:p>
      <w:pPr>
        <w:spacing w:after="80"/>
      </w:pPr>
    </w:p>
    <w:p>
      <w:pPr>
        <w:keepNext/>
        <w:spacing w:before="280" w:after="80"/>
      </w:pPr>
      <w:r>
        <w:rPr>
          <w:rFonts w:ascii="Calibri" w:hAnsi="Calibri"/>
          <w:b/>
          <w:color w:val="C9A227"/>
          <w:sz w:val="28"/>
        </w:rPr>
        <w:t>11.  GENERAL</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F5F5F5"/>
          </w:tcPr>
          <w:p>
            <w:r/>
            <w:r>
              <w:rPr>
                <w:b/>
                <w:i w:val="0"/>
                <w:color w:val="1A1A1A"/>
                <w:sz w:val="20"/>
              </w:rPr>
              <w:t>Governing Law</w:t>
            </w:r>
          </w:p>
        </w:tc>
        <w:tc>
          <w:tcPr>
            <w:tcW w:type="dxa" w:w="6236"/>
            <w:shd w:val="clear" w:color="auto" w:fill="F5F5F5"/>
          </w:tcPr>
          <w:p>
            <w:pPr>
              <w:spacing w:before="20" w:after="40"/>
            </w:pPr>
            <w:r/>
            <w:r>
              <w:rPr>
                <w:color w:val="1A1A1A"/>
                <w:sz w:val="20"/>
              </w:rPr>
              <w:t>Republic of South Africa. Disputes to be referred to arbitration under the AFSA rules before any court proceedings.</w:t>
            </w:r>
          </w:p>
        </w:tc>
      </w:tr>
      <w:tr>
        <w:tc>
          <w:tcPr>
            <w:tcW w:type="dxa" w:w="3118"/>
            <w:shd w:val="clear" w:color="auto" w:fill="FFFFFF"/>
          </w:tcPr>
          <w:p>
            <w:r/>
            <w:r>
              <w:rPr>
                <w:b/>
                <w:i w:val="0"/>
                <w:color w:val="1A1A1A"/>
                <w:sz w:val="20"/>
              </w:rPr>
              <w:t>Confidentiality</w:t>
            </w:r>
          </w:p>
        </w:tc>
        <w:tc>
          <w:tcPr>
            <w:tcW w:type="dxa" w:w="6236"/>
            <w:shd w:val="clear" w:color="auto" w:fill="FFFFFF"/>
          </w:tcPr>
          <w:p>
            <w:pPr>
              <w:spacing w:before="20" w:after="40"/>
            </w:pPr>
            <w:r/>
            <w:r>
              <w:rPr>
                <w:color w:val="1A1A1A"/>
                <w:sz w:val="20"/>
              </w:rPr>
              <w:t>Both parties undertake to keep the contents of this term sheet and all related discussions strictly confidential.</w:t>
            </w:r>
          </w:p>
        </w:tc>
      </w:tr>
      <w:tr>
        <w:tc>
          <w:tcPr>
            <w:tcW w:type="dxa" w:w="3118"/>
            <w:shd w:val="clear" w:color="auto" w:fill="F5F5F5"/>
          </w:tcPr>
          <w:p>
            <w:r/>
            <w:r>
              <w:rPr>
                <w:b/>
                <w:i w:val="0"/>
                <w:color w:val="1A1A1A"/>
                <w:sz w:val="20"/>
              </w:rPr>
              <w:t>Attorneys</w:t>
            </w:r>
          </w:p>
        </w:tc>
        <w:tc>
          <w:tcPr>
            <w:tcW w:type="dxa" w:w="6236"/>
            <w:shd w:val="clear" w:color="auto" w:fill="F5F5F5"/>
          </w:tcPr>
          <w:p>
            <w:pPr>
              <w:spacing w:before="20" w:after="40"/>
            </w:pPr>
            <w:r/>
            <w:r>
              <w:rPr>
                <w:color w:val="1A1A1A"/>
                <w:sz w:val="20"/>
              </w:rPr>
              <w:t>The Company will appoint attorneys to draft the definitive agreements. Simon is advised to obtain independent legal advice at his own cost.</w:t>
            </w:r>
          </w:p>
        </w:tc>
      </w:tr>
      <w:tr>
        <w:tc>
          <w:tcPr>
            <w:tcW w:type="dxa" w:w="3118"/>
            <w:shd w:val="clear" w:color="auto" w:fill="FFFFFF"/>
          </w:tcPr>
          <w:p>
            <w:r/>
            <w:r>
              <w:rPr>
                <w:b/>
                <w:i w:val="0"/>
                <w:color w:val="1A1A1A"/>
                <w:sz w:val="20"/>
              </w:rPr>
              <w:t>Non-Binding</w:t>
            </w:r>
          </w:p>
        </w:tc>
        <w:tc>
          <w:tcPr>
            <w:tcW w:type="dxa" w:w="6236"/>
            <w:shd w:val="clear" w:color="auto" w:fill="FFFFFF"/>
          </w:tcPr>
          <w:p>
            <w:pPr>
              <w:spacing w:before="20" w:after="40"/>
            </w:pPr>
            <w:r/>
            <w:r>
              <w:rPr>
                <w:color w:val="1A1A1A"/>
                <w:sz w:val="20"/>
              </w:rPr>
              <w:t>This document is non-binding in its entirety and constitutes heads of terms for negotiation only. No binding obligations arise until definitive agreements are executed by both parties.</w:t>
            </w:r>
          </w:p>
        </w:tc>
      </w:tr>
      <w:tr>
        <w:tc>
          <w:tcPr>
            <w:tcW w:type="dxa" w:w="3118"/>
            <w:shd w:val="clear" w:color="auto" w:fill="F5F5F5"/>
          </w:tcPr>
          <w:p>
            <w:r/>
            <w:r>
              <w:rPr>
                <w:b/>
                <w:i w:val="0"/>
                <w:color w:val="1A1A1A"/>
                <w:sz w:val="20"/>
              </w:rPr>
              <w:t>Validity</w:t>
            </w:r>
          </w:p>
        </w:tc>
        <w:tc>
          <w:tcPr>
            <w:tcW w:type="dxa" w:w="6236"/>
            <w:shd w:val="clear" w:color="auto" w:fill="F5F5F5"/>
          </w:tcPr>
          <w:p>
            <w:pPr>
              <w:spacing w:before="20" w:after="40"/>
            </w:pPr>
            <w:r/>
            <w:r>
              <w:rPr>
                <w:color w:val="1A1A1A"/>
                <w:sz w:val="20"/>
              </w:rPr>
              <w:t>This term sheet lapses if not countersigned by both parties within 30 days of the date hereof.</w:t>
            </w:r>
          </w:p>
        </w:tc>
      </w:tr>
    </w:tbl>
    <w:p>
      <w:pPr>
        <w:spacing w:after="80"/>
      </w:pPr>
    </w:p>
    <w:p>
      <w:pPr>
        <w:spacing w:before="80" w:after="80"/>
        <w:pBdr>
          <w:bottom w:val="single" w:sz="4" w:space="1" w:color="C9A227"/>
        </w:pBdr>
      </w:pPr>
    </w:p>
    <w:p>
      <w:pPr>
        <w:keepNext/>
        <w:spacing w:before="280" w:after="80"/>
      </w:pPr>
      <w:r>
        <w:rPr>
          <w:rFonts w:ascii="Calibri" w:hAnsi="Calibri"/>
          <w:b/>
          <w:color w:val="C9A227"/>
          <w:sz w:val="28"/>
        </w:rPr>
        <w:t>12.  SIGNATURE</w:t>
      </w:r>
    </w:p>
    <w:p>
      <w:pPr>
        <w:spacing w:before="40" w:after="80"/>
      </w:pPr>
      <w:r>
        <w:rPr>
          <w:i w:val="0"/>
          <w:color w:val="1A1A1A"/>
          <w:sz w:val="20"/>
        </w:rPr>
        <w:t>By signing below, the parties confirm that they have read and understood the above heads of terms and agree to proceed with the drafting of definitive agreements on this basis.  This signature does not create a binding legal obligation.</w:t>
      </w:r>
    </w:p>
    <w:tbl>
      <w:tblPr>
        <w:tblStyle w:val="TableGrid"/>
        <w:tblW w:type="auto" w:w="0"/>
        <w:tblLook w:firstColumn="1" w:firstRow="1" w:lastColumn="0" w:lastRow="0" w:noHBand="0" w:noVBand="1" w:val="04A0"/>
      </w:tblPr>
      <w:tblGrid>
        <w:gridCol w:w="4703"/>
        <w:gridCol w:w="4703"/>
      </w:tblGrid>
      <w:tr>
        <w:tc>
          <w:tcPr>
            <w:tcW w:type="dxa" w:w="4535"/>
            <w:shd w:val="clear" w:color="auto" w:fill="F5F5F5"/>
          </w:tcPr>
          <w:p>
            <w:r/>
            <w:r>
              <w:rPr>
                <w:b/>
                <w:i w:val="0"/>
                <w:color w:val="1A1A1A"/>
                <w:sz w:val="20"/>
              </w:rPr>
              <w:t>FOR AND ON BEHALF OF BITWEALTH (PTY) LTD</w:t>
              <w:br/>
              <w:t>and in his personal capacity as Founder</w:t>
            </w:r>
          </w:p>
        </w:tc>
        <w:tc>
          <w:tcPr>
            <w:tcW w:type="dxa" w:w="4535"/>
            <w:shd w:val="clear" w:color="auto" w:fill="F5F5F5"/>
          </w:tcPr>
          <w:p>
            <w:r/>
            <w:r>
              <w:rPr>
                <w:b/>
                <w:i w:val="0"/>
                <w:color w:val="1A1A1A"/>
                <w:sz w:val="20"/>
              </w:rPr>
              <w:t>AGREED TO BY SIMON HOBDAY</w:t>
              <w:br/>
              <w:t>in his personal capacity</w:t>
            </w:r>
          </w:p>
        </w:tc>
      </w:tr>
      <w:tr>
        <w:tc>
          <w:tcPr>
            <w:tcW w:type="dxa" w:w="4535"/>
            <w:shd w:val="clear" w:color="auto" w:fill="FFFFFF"/>
          </w:tcPr>
          <w:p>
            <w:r/>
            <w:r>
              <w:rPr>
                <w:b w:val="0"/>
                <w:i w:val="0"/>
                <w:color w:val="1A1A1A"/>
                <w:sz w:val="20"/>
              </w:rPr>
              <w:t>Signature: _____________________________</w:t>
            </w:r>
          </w:p>
        </w:tc>
        <w:tc>
          <w:tcPr>
            <w:tcW w:type="dxa" w:w="4535"/>
            <w:shd w:val="clear" w:color="auto" w:fill="FFFFFF"/>
          </w:tcPr>
          <w:p>
            <w:r/>
            <w:r>
              <w:rPr>
                <w:b w:val="0"/>
                <w:i w:val="0"/>
                <w:color w:val="1A1A1A"/>
                <w:sz w:val="20"/>
              </w:rPr>
              <w:t>Signature: _____________________________</w:t>
            </w:r>
          </w:p>
        </w:tc>
      </w:tr>
      <w:tr>
        <w:tc>
          <w:tcPr>
            <w:tcW w:type="dxa" w:w="4535"/>
            <w:shd w:val="clear" w:color="auto" w:fill="FFFFFF"/>
          </w:tcPr>
          <w:p>
            <w:r/>
            <w:r>
              <w:rPr>
                <w:b w:val="0"/>
                <w:i w:val="0"/>
                <w:color w:val="1A1A1A"/>
                <w:sz w:val="20"/>
              </w:rPr>
              <w:t>Full Name:  Davin Cloete</w:t>
            </w:r>
          </w:p>
        </w:tc>
        <w:tc>
          <w:tcPr>
            <w:tcW w:type="dxa" w:w="4535"/>
            <w:shd w:val="clear" w:color="auto" w:fill="FFFFFF"/>
          </w:tcPr>
          <w:p>
            <w:r/>
            <w:r>
              <w:rPr>
                <w:b w:val="0"/>
                <w:i w:val="0"/>
                <w:color w:val="1A1A1A"/>
                <w:sz w:val="20"/>
              </w:rPr>
              <w:t>Full Name:  Simon Hobday</w:t>
            </w:r>
          </w:p>
        </w:tc>
      </w:tr>
      <w:tr>
        <w:tc>
          <w:tcPr>
            <w:tcW w:type="dxa" w:w="4535"/>
            <w:shd w:val="clear" w:color="auto" w:fill="FFFFFF"/>
          </w:tcPr>
          <w:p>
            <w:r/>
            <w:r>
              <w:rPr>
                <w:b w:val="0"/>
                <w:i w:val="0"/>
                <w:color w:val="1A1A1A"/>
                <w:sz w:val="20"/>
              </w:rPr>
              <w:t>Capacity:   Director / Founder</w:t>
            </w:r>
          </w:p>
        </w:tc>
        <w:tc>
          <w:tcPr>
            <w:tcW w:type="dxa" w:w="4535"/>
            <w:shd w:val="clear" w:color="auto" w:fill="FFFFFF"/>
          </w:tcPr>
          <w:p>
            <w:r/>
            <w:r>
              <w:rPr>
                <w:b w:val="0"/>
                <w:i w:val="0"/>
                <w:color w:val="1A1A1A"/>
                <w:sz w:val="20"/>
              </w:rPr>
              <w:t>Capacity:   Proposed Business Development Partner</w:t>
            </w:r>
          </w:p>
        </w:tc>
      </w:tr>
      <w:tr>
        <w:tc>
          <w:tcPr>
            <w:tcW w:type="dxa" w:w="4535"/>
            <w:shd w:val="clear" w:color="auto" w:fill="FFFFFF"/>
          </w:tcPr>
          <w:p>
            <w:r/>
            <w:r>
              <w:rPr>
                <w:b w:val="0"/>
                <w:i w:val="0"/>
                <w:color w:val="1A1A1A"/>
                <w:sz w:val="20"/>
              </w:rPr>
              <w:t>Date:       ___________________________</w:t>
            </w:r>
          </w:p>
        </w:tc>
        <w:tc>
          <w:tcPr>
            <w:tcW w:type="dxa" w:w="4535"/>
            <w:shd w:val="clear" w:color="auto" w:fill="FFFFFF"/>
          </w:tcPr>
          <w:p>
            <w:r/>
            <w:r>
              <w:rPr>
                <w:b w:val="0"/>
                <w:i w:val="0"/>
                <w:color w:val="1A1A1A"/>
                <w:sz w:val="20"/>
              </w:rPr>
              <w:t>Date:       ___________________________</w:t>
            </w:r>
          </w:p>
        </w:tc>
      </w:tr>
      <w:tr>
        <w:tc>
          <w:tcPr>
            <w:tcW w:type="dxa" w:w="4535"/>
            <w:shd w:val="clear" w:color="auto" w:fill="FFFFFF"/>
          </w:tcPr>
          <w:p>
            <w:r/>
            <w:r>
              <w:rPr>
                <w:b w:val="0"/>
                <w:i w:val="0"/>
                <w:color w:val="1A1A1A"/>
                <w:sz w:val="20"/>
              </w:rPr>
              <w:t>Witness:    ___________________________</w:t>
            </w:r>
          </w:p>
        </w:tc>
        <w:tc>
          <w:tcPr>
            <w:tcW w:type="dxa" w:w="4535"/>
            <w:shd w:val="clear" w:color="auto" w:fill="FFFFFF"/>
          </w:tcPr>
          <w:p>
            <w:r/>
            <w:r>
              <w:rPr>
                <w:b w:val="0"/>
                <w:i w:val="0"/>
                <w:color w:val="1A1A1A"/>
                <w:sz w:val="20"/>
              </w:rPr>
              <w:t>Witness:    ___________________________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