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C9A227"/>
          <w:sz w:val="36"/>
        </w:rPr>
        <w:t>BITWEALTH (PTY) LTD</w:t>
      </w:r>
    </w:p>
    <w:p>
      <w:pPr>
        <w:spacing w:after="40"/>
        <w:jc w:val="center"/>
      </w:pPr>
      <w:r>
        <w:rPr>
          <w:color w:val="1A1A1A"/>
          <w:sz w:val="22"/>
        </w:rPr>
        <w:t>Revised Equity Proposal v3 — Response to Simon Hobday's Comments</w:t>
      </w:r>
    </w:p>
    <w:p>
      <w:pPr>
        <w:spacing w:after="200"/>
        <w:jc w:val="center"/>
      </w:pPr>
      <w:r>
        <w:rPr>
          <w:i/>
          <w:color w:val="555555"/>
          <w:sz w:val="18"/>
        </w:rPr>
        <w:t>Date: 11 July 2026  ·  PRIVATE &amp; CONFIDENTIAL  ·  NON-BINDING  ·  SUBJECT TO CONTRACT</w:t>
      </w:r>
    </w:p>
    <w:p>
      <w:pPr>
        <w:spacing w:before="80" w:after="80"/>
        <w:pBdr>
          <w:bottom w:val="single" w:sz="4" w:space="1" w:color="C9A227"/>
        </w:pBdr>
      </w:pPr>
    </w:p>
    <w:p>
      <w:pPr>
        <w:spacing w:before="40" w:after="80"/>
      </w:pPr>
      <w:r>
        <w:rPr>
          <w:b w:val="0"/>
          <w:i w:val="0"/>
          <w:color w:val="1A1A1A"/>
          <w:sz w:val="20"/>
        </w:rPr>
        <w:t>This document responds to the seventeen (17) comments raised by Simon Hobday on the v2 Equity Proposal dated June 2026, and introduces a framework for new products and non-AUM revenue. It is structured in four parts:</w:t>
      </w:r>
    </w:p>
    <w:p>
      <w:pPr>
        <w:pStyle w:val="ListBullet"/>
        <w:spacing w:before="20" w:after="40"/>
        <w:ind w:left="340"/>
      </w:pPr>
      <w:r>
        <w:rPr>
          <w:color w:val="1A1A1A"/>
          <w:sz w:val="20"/>
        </w:rPr>
        <w:t>Part A — Point-by-point response to each of Simon's comments, with the Company's negotiating position and rationale.</w:t>
      </w:r>
    </w:p>
    <w:p>
      <w:pPr>
        <w:pStyle w:val="ListBullet"/>
        <w:spacing w:before="20" w:after="40"/>
        <w:ind w:left="340"/>
      </w:pPr>
      <w:r>
        <w:rPr>
          <w:color w:val="1A1A1A"/>
          <w:sz w:val="20"/>
        </w:rPr>
        <w:t>Part B — Revised Term Sheet clauses giving effect to the agreed positions.</w:t>
      </w:r>
    </w:p>
    <w:p>
      <w:pPr>
        <w:pStyle w:val="ListBullet"/>
        <w:spacing w:before="20" w:after="40"/>
        <w:ind w:left="340"/>
      </w:pPr>
      <w:r>
        <w:rPr>
          <w:color w:val="1A1A1A"/>
          <w:sz w:val="20"/>
        </w:rPr>
        <w:t>Part C — New Ventures &amp; Innovation Revenue framework (Simon's new-revenue request).</w:t>
      </w:r>
    </w:p>
    <w:p>
      <w:pPr>
        <w:pStyle w:val="ListBullet"/>
        <w:spacing w:before="20" w:after="40"/>
        <w:ind w:left="340"/>
      </w:pPr>
      <w:r>
        <w:rPr>
          <w:color w:val="1A1A1A"/>
          <w:sz w:val="20"/>
        </w:rPr>
        <w:t>Part D — Revised Cap Table Model, including near-miss / pro-rata vesting.</w:t>
      </w:r>
    </w:p>
    <w:p>
      <w:pPr>
        <w:spacing w:before="120"/>
      </w:pPr>
      <w:r>
        <w:rPr>
          <w:b/>
          <w:color w:val="B71C1C"/>
          <w:sz w:val="18"/>
        </w:rPr>
        <w:t xml:space="preserve">IMPORTANT — NOT LEGAL ADVICE.  </w:t>
      </w:r>
      <w:r>
        <w:rPr>
          <w:i/>
          <w:color w:val="555555"/>
          <w:sz w:val="18"/>
        </w:rPr>
        <w:t>This document is prepared as negotiation support only and does not constitute legal, regulatory, or tax advice. It must be reviewed and the definitive agreements drafted by a qualified South African attorney, with FAIS input from Finova Capital and independent tax advice for both parties, before signature.</w:t>
      </w:r>
    </w:p>
    <w:p>
      <w:pPr>
        <w:spacing w:before="80" w:after="80"/>
        <w:pBdr>
          <w:bottom w:val="single" w:sz="4" w:space="1" w:color="C9A227"/>
        </w:pBdr>
      </w:pPr>
    </w:p>
    <w:p>
      <w:pPr>
        <w:keepNext/>
        <w:spacing w:before="280" w:after="80"/>
      </w:pPr>
      <w:r>
        <w:rPr>
          <w:rFonts w:ascii="Calibri" w:hAnsi="Calibri"/>
          <w:b/>
          <w:color w:val="C9A227"/>
          <w:sz w:val="28"/>
        </w:rPr>
        <w:t>PART A — RESPONSE TO SIMON'S COMMENTS</w:t>
      </w:r>
    </w:p>
    <w:p>
      <w:pPr>
        <w:spacing w:before="40" w:after="120"/>
      </w:pPr>
      <w:r>
        <w:rPr>
          <w:b w:val="0"/>
          <w:i/>
          <w:color w:val="555555"/>
          <w:sz w:val="18"/>
        </w:rPr>
        <w:t>Position key:  ACCEPT = agreed as requested.  ACCEPT (MODIFIED) = agreed in principle with adjustments to keep the deal balanced.  COUNTER = alternative proposed. Of the 17 comments, the Company accepts 9 outright, accepts 6 with modification, and counters 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454"/>
            <w:shd w:val="clear" w:color="auto" w:fill="006064"/>
          </w:tcPr>
          <w:p>
            <w:pPr>
              <w:jc w:val="center"/>
            </w:pPr>
            <w:r/>
            <w:r>
              <w:rPr>
                <w:b/>
                <w:i w:val="0"/>
                <w:color w:val="FFFFFF"/>
                <w:sz w:val="18"/>
              </w:rPr>
              <w:t>#</w:t>
            </w:r>
          </w:p>
        </w:tc>
        <w:tc>
          <w:tcPr>
            <w:tcW w:type="dxa" w:w="2551"/>
            <w:shd w:val="clear" w:color="auto" w:fill="006064"/>
          </w:tcPr>
          <w:p>
            <w:pPr>
              <w:jc w:val="center"/>
            </w:pPr>
            <w:r/>
            <w:r>
              <w:rPr>
                <w:b/>
                <w:i w:val="0"/>
                <w:color w:val="FFFFFF"/>
                <w:sz w:val="18"/>
              </w:rPr>
              <w:t>Simon's Comment</w:t>
            </w:r>
          </w:p>
        </w:tc>
        <w:tc>
          <w:tcPr>
            <w:tcW w:type="dxa" w:w="1474"/>
            <w:shd w:val="clear" w:color="auto" w:fill="006064"/>
          </w:tcPr>
          <w:p>
            <w:pPr>
              <w:jc w:val="center"/>
            </w:pPr>
            <w:r/>
            <w:r>
              <w:rPr>
                <w:b/>
                <w:i w:val="0"/>
                <w:color w:val="FFFFFF"/>
                <w:sz w:val="18"/>
              </w:rPr>
              <w:t>Position</w:t>
            </w:r>
          </w:p>
        </w:tc>
        <w:tc>
          <w:tcPr>
            <w:tcW w:type="dxa" w:w="5102"/>
            <w:shd w:val="clear" w:color="auto" w:fill="006064"/>
          </w:tcPr>
          <w:p>
            <w:pPr>
              <w:jc w:val="center"/>
            </w:pPr>
            <w:r/>
            <w:r>
              <w:rPr>
                <w:b/>
                <w:i w:val="0"/>
                <w:color w:val="FFFFFF"/>
                <w:sz w:val="18"/>
              </w:rPr>
              <w:t>Company's Response &amp; Rationale</w:t>
            </w:r>
          </w:p>
        </w:tc>
      </w:tr>
      <w:tr>
        <w:tc>
          <w:tcPr>
            <w:tcW w:type="dxa" w:w="454"/>
            <w:shd w:val="clear" w:color="auto" w:fill="FFFFFF"/>
          </w:tcPr>
          <w:p>
            <w:pPr>
              <w:jc w:val="center"/>
            </w:pPr>
            <w:r/>
            <w:r>
              <w:rPr>
                <w:b/>
                <w:i w:val="0"/>
                <w:color w:val="1A1A1A"/>
                <w:sz w:val="18"/>
              </w:rPr>
              <w:t>1</w:t>
            </w:r>
          </w:p>
        </w:tc>
        <w:tc>
          <w:tcPr>
            <w:tcW w:type="dxa" w:w="2551"/>
            <w:shd w:val="clear" w:color="auto" w:fill="FFFFFF"/>
          </w:tcPr>
          <w:p>
            <w:r/>
            <w:r>
              <w:rPr>
                <w:b/>
                <w:color w:val="1A1A1A"/>
                <w:sz w:val="18"/>
              </w:rPr>
              <w:t xml:space="preserve">IP valuation evidence — </w:t>
            </w:r>
            <w:r>
              <w:rPr>
                <w:color w:val="555555"/>
                <w:sz w:val="18"/>
              </w:rPr>
              <w:t>Wants independent evidence of the R2.5m IP value, proof of ownership, developer assignments, dependency list, and no competing claims.</w:t>
            </w:r>
          </w:p>
        </w:tc>
        <w:tc>
          <w:tcPr>
            <w:tcW w:type="dxa" w:w="1474"/>
            <w:shd w:val="clear" w:color="auto" w:fill="FFF8E1"/>
          </w:tcPr>
          <w:p>
            <w:pPr>
              <w:jc w:val="center"/>
            </w:pPr>
            <w:r/>
            <w:r>
              <w:rPr>
                <w:b/>
                <w:i w:val="0"/>
                <w:color w:val="8A6D0F"/>
                <w:sz w:val="18"/>
              </w:rPr>
              <w:t>ACCEPT (MODIFIED)</w:t>
            </w:r>
          </w:p>
        </w:tc>
        <w:tc>
          <w:tcPr>
            <w:tcW w:type="dxa" w:w="5102"/>
            <w:shd w:val="clear" w:color="auto" w:fill="FFFFFF"/>
          </w:tcPr>
          <w:p>
            <w:r/>
            <w:r>
              <w:rPr>
                <w:b w:val="0"/>
                <w:i w:val="0"/>
                <w:color w:val="1A1A1A"/>
                <w:sz w:val="18"/>
              </w:rPr>
              <w:t>Fair diligence. The Company will provide a disclosure pack: signed IP transfer agreement, developer/contractor assignment confirmations, an open-source/third-party dependency list, and a warranty of title with no known competing claims. However, the R2.5m is an agreed commercial figure, not an independent valuation — Davin warrants ownership and title, not the market value. An independent valuation can be commissioned at Simon's cost if he requires one.</w:t>
            </w:r>
          </w:p>
        </w:tc>
      </w:tr>
      <w:tr>
        <w:tc>
          <w:tcPr>
            <w:tcW w:type="dxa" w:w="454"/>
            <w:shd w:val="clear" w:color="auto" w:fill="F5F5F5"/>
          </w:tcPr>
          <w:p>
            <w:pPr>
              <w:jc w:val="center"/>
            </w:pPr>
            <w:r/>
            <w:r>
              <w:rPr>
                <w:b/>
                <w:i w:val="0"/>
                <w:color w:val="1A1A1A"/>
                <w:sz w:val="18"/>
              </w:rPr>
              <w:t>2</w:t>
            </w:r>
          </w:p>
        </w:tc>
        <w:tc>
          <w:tcPr>
            <w:tcW w:type="dxa" w:w="2551"/>
            <w:shd w:val="clear" w:color="auto" w:fill="F5F5F5"/>
          </w:tcPr>
          <w:p>
            <w:r/>
            <w:r>
              <w:rPr>
                <w:b/>
                <w:color w:val="1A1A1A"/>
                <w:sz w:val="18"/>
              </w:rPr>
              <w:t xml:space="preserve">Introduced Client Register — </w:t>
            </w:r>
            <w:r>
              <w:rPr>
                <w:color w:val="555555"/>
                <w:sz w:val="18"/>
              </w:rPr>
              <w:t>Wants a formal register; any party introduced by Simon recorded within 5 business days and credited to him for milestone and revenue-share purposes.</w:t>
            </w:r>
          </w:p>
        </w:tc>
        <w:tc>
          <w:tcPr>
            <w:tcW w:type="dxa" w:w="1474"/>
            <w:shd w:val="clear" w:color="auto" w:fill="FFF8E1"/>
          </w:tcPr>
          <w:p>
            <w:pPr>
              <w:jc w:val="center"/>
            </w:pPr>
            <w:r/>
            <w:r>
              <w:rPr>
                <w:b/>
                <w:i w:val="0"/>
                <w:color w:val="8A6D0F"/>
                <w:sz w:val="18"/>
              </w:rPr>
              <w:t>ACCEPT (MODIFIED)</w:t>
            </w:r>
          </w:p>
        </w:tc>
        <w:tc>
          <w:tcPr>
            <w:tcW w:type="dxa" w:w="5102"/>
            <w:shd w:val="clear" w:color="auto" w:fill="F5F5F5"/>
          </w:tcPr>
          <w:p>
            <w:r/>
            <w:r>
              <w:rPr>
                <w:b w:val="0"/>
                <w:i w:val="0"/>
                <w:color w:val="1A1A1A"/>
                <w:sz w:val="18"/>
              </w:rPr>
              <w:t>Agreed, with guardrails: (i) an 'Introduced Client' is one where Simon makes the first meaningful contact and the client is not already in the Company's pipeline; (ii) each client is credited once; (iii) entries are logged within 5 business days and are open to reasonable dispute/verification by the Board. This protects both sides from double-counting.</w:t>
            </w:r>
          </w:p>
        </w:tc>
      </w:tr>
      <w:tr>
        <w:tc>
          <w:tcPr>
            <w:tcW w:type="dxa" w:w="454"/>
            <w:shd w:val="clear" w:color="auto" w:fill="FFFFFF"/>
          </w:tcPr>
          <w:p>
            <w:pPr>
              <w:jc w:val="center"/>
            </w:pPr>
            <w:r/>
            <w:r>
              <w:rPr>
                <w:b/>
                <w:i w:val="0"/>
                <w:color w:val="1A1A1A"/>
                <w:sz w:val="18"/>
              </w:rPr>
              <w:t>3</w:t>
            </w:r>
          </w:p>
        </w:tc>
        <w:tc>
          <w:tcPr>
            <w:tcW w:type="dxa" w:w="2551"/>
            <w:shd w:val="clear" w:color="auto" w:fill="FFFFFF"/>
          </w:tcPr>
          <w:p>
            <w:r/>
            <w:r>
              <w:rPr>
                <w:b/>
                <w:color w:val="1A1A1A"/>
                <w:sz w:val="18"/>
              </w:rPr>
              <w:t xml:space="preserve">FAIS 3-month hard deadline — </w:t>
            </w:r>
            <w:r>
              <w:rPr>
                <w:color w:val="555555"/>
                <w:sz w:val="18"/>
              </w:rPr>
              <w:t>Says the 3-month FAIS compliance breach clause is too harsh where delays are caused by Finova, FSCA, paperwork, or the Company.</w:t>
            </w:r>
          </w:p>
        </w:tc>
        <w:tc>
          <w:tcPr>
            <w:tcW w:type="dxa" w:w="1474"/>
            <w:shd w:val="clear" w:color="auto" w:fill="E8F5E9"/>
          </w:tcPr>
          <w:p>
            <w:pPr>
              <w:jc w:val="center"/>
            </w:pPr>
            <w:r/>
            <w:r>
              <w:rPr>
                <w:b/>
                <w:i w:val="0"/>
                <w:color w:val="1B5E20"/>
                <w:sz w:val="18"/>
              </w:rPr>
              <w:t>ACCEPT</w:t>
            </w:r>
          </w:p>
        </w:tc>
        <w:tc>
          <w:tcPr>
            <w:tcW w:type="dxa" w:w="5102"/>
            <w:shd w:val="clear" w:color="auto" w:fill="FFFFFF"/>
          </w:tcPr>
          <w:p>
            <w:r/>
            <w:r>
              <w:rPr>
                <w:b w:val="0"/>
                <w:i w:val="0"/>
                <w:color w:val="1A1A1A"/>
                <w:sz w:val="18"/>
              </w:rPr>
              <w:t>Agreed. Changed to a 'reasonable endeavours' obligation, expressly excluding delays outside Simon's control (regulator, FSP, or Company-caused). Only a wilful or negligent failure by Simon to pursue accreditation will count as a breach.</w:t>
            </w:r>
          </w:p>
        </w:tc>
      </w:tr>
      <w:tr>
        <w:tc>
          <w:tcPr>
            <w:tcW w:type="dxa" w:w="454"/>
            <w:shd w:val="clear" w:color="auto" w:fill="F5F5F5"/>
          </w:tcPr>
          <w:p>
            <w:pPr>
              <w:jc w:val="center"/>
            </w:pPr>
            <w:r/>
            <w:r>
              <w:rPr>
                <w:b/>
                <w:i w:val="0"/>
                <w:color w:val="1A1A1A"/>
                <w:sz w:val="18"/>
              </w:rPr>
              <w:t>4</w:t>
            </w:r>
          </w:p>
        </w:tc>
        <w:tc>
          <w:tcPr>
            <w:tcW w:type="dxa" w:w="2551"/>
            <w:shd w:val="clear" w:color="auto" w:fill="F5F5F5"/>
          </w:tcPr>
          <w:p>
            <w:r/>
            <w:r>
              <w:rPr>
                <w:b/>
                <w:color w:val="1A1A1A"/>
                <w:sz w:val="18"/>
              </w:rPr>
              <w:t xml:space="preserve">Define role scope — </w:t>
            </w:r>
            <w:r>
              <w:rPr>
                <w:color w:val="555555"/>
                <w:sz w:val="18"/>
              </w:rPr>
              <w:t>Wants defined time commitment, role scope, sales/marketing/compliance support, budget, and whether this is employment, consulting, or non-exec.</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and sensible for both parties. Proposed: a non-executive business-development consulting role with defined quarterly deliverables, an agreed minimum time commitment, and a marketing/sales budget set annually by the Board. Avoids open-ended obligations on Simon and open-ended cost on the Company.</w:t>
            </w:r>
          </w:p>
        </w:tc>
      </w:tr>
      <w:tr>
        <w:tc>
          <w:tcPr>
            <w:tcW w:type="dxa" w:w="454"/>
            <w:shd w:val="clear" w:color="auto" w:fill="FFFFFF"/>
          </w:tcPr>
          <w:p>
            <w:pPr>
              <w:jc w:val="center"/>
            </w:pPr>
            <w:r/>
            <w:r>
              <w:rPr>
                <w:b/>
                <w:i w:val="0"/>
                <w:color w:val="1A1A1A"/>
                <w:sz w:val="18"/>
              </w:rPr>
              <w:t>5</w:t>
            </w:r>
          </w:p>
        </w:tc>
        <w:tc>
          <w:tcPr>
            <w:tcW w:type="dxa" w:w="2551"/>
            <w:shd w:val="clear" w:color="auto" w:fill="FFFFFF"/>
          </w:tcPr>
          <w:p>
            <w:r/>
            <w:r>
              <w:rPr>
                <w:b/>
                <w:color w:val="1A1A1A"/>
                <w:sz w:val="18"/>
              </w:rPr>
              <w:t xml:space="preserve">Objective AUM verification — </w:t>
            </w:r>
            <w:r>
              <w:rPr>
                <w:color w:val="555555"/>
                <w:sz w:val="18"/>
              </w:rPr>
              <w:t>Wants milestones deemed achieved automatically once month-end AUM meets the threshold, confirmed by platform/custodian records; Board confirmation administrative only.</w:t>
            </w:r>
          </w:p>
        </w:tc>
        <w:tc>
          <w:tcPr>
            <w:tcW w:type="dxa" w:w="1474"/>
            <w:shd w:val="clear" w:color="auto" w:fill="FFF8E1"/>
          </w:tcPr>
          <w:p>
            <w:pPr>
              <w:jc w:val="center"/>
            </w:pPr>
            <w:r/>
            <w:r>
              <w:rPr>
                <w:b/>
                <w:i w:val="0"/>
                <w:color w:val="8A6D0F"/>
                <w:sz w:val="18"/>
              </w:rPr>
              <w:t>ACCEPT (MODIFIED)</w:t>
            </w:r>
          </w:p>
        </w:tc>
        <w:tc>
          <w:tcPr>
            <w:tcW w:type="dxa" w:w="5102"/>
            <w:shd w:val="clear" w:color="auto" w:fill="FFFFFF"/>
          </w:tcPr>
          <w:p>
            <w:r/>
            <w:r>
              <w:rPr>
                <w:b w:val="0"/>
                <w:i w:val="0"/>
                <w:color w:val="1A1A1A"/>
                <w:sz w:val="18"/>
              </w:rPr>
              <w:t>Agreed, with one safeguard: AUM must meet the threshold at a month-end and be sustained to the following month-end (two consecutive month-ends) to avoid a one-day spike triggering a permanent equity transfer. Verified objectively from platform, custodian, exchange, and accounting records. Board role is administrative confirmation only.</w:t>
            </w:r>
          </w:p>
        </w:tc>
      </w:tr>
      <w:tr>
        <w:tc>
          <w:tcPr>
            <w:tcW w:type="dxa" w:w="454"/>
            <w:shd w:val="clear" w:color="auto" w:fill="F5F5F5"/>
          </w:tcPr>
          <w:p>
            <w:pPr>
              <w:jc w:val="center"/>
            </w:pPr>
            <w:r/>
            <w:r>
              <w:rPr>
                <w:b/>
                <w:i w:val="0"/>
                <w:color w:val="1A1A1A"/>
                <w:sz w:val="18"/>
              </w:rPr>
              <w:t>6</w:t>
            </w:r>
          </w:p>
        </w:tc>
        <w:tc>
          <w:tcPr>
            <w:tcW w:type="dxa" w:w="2551"/>
            <w:shd w:val="clear" w:color="auto" w:fill="F5F5F5"/>
          </w:tcPr>
          <w:p>
            <w:r/>
            <w:r>
              <w:rPr>
                <w:b/>
                <w:color w:val="1A1A1A"/>
                <w:sz w:val="18"/>
              </w:rPr>
              <w:t xml:space="preserve">Board cannot withhold confirmation — </w:t>
            </w:r>
            <w:r>
              <w:rPr>
                <w:color w:val="555555"/>
                <w:sz w:val="18"/>
              </w:rPr>
              <w:t>Wants a clause that Board confirmation may not be unreasonably withheld; deemed achieved if not confirmed within 10 business days despite evidence.</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 consistent with making verification objective. If the evidence shows the threshold met and sustained, and the Board does not confirm within 10 business days, the milestone is deemed achieved.</w:t>
            </w:r>
          </w:p>
        </w:tc>
      </w:tr>
      <w:tr>
        <w:tc>
          <w:tcPr>
            <w:tcW w:type="dxa" w:w="454"/>
            <w:shd w:val="clear" w:color="auto" w:fill="FFFFFF"/>
          </w:tcPr>
          <w:p>
            <w:pPr>
              <w:jc w:val="center"/>
            </w:pPr>
            <w:r/>
            <w:r>
              <w:rPr>
                <w:b/>
                <w:i w:val="0"/>
                <w:color w:val="1A1A1A"/>
                <w:sz w:val="18"/>
              </w:rPr>
              <w:t>7</w:t>
            </w:r>
          </w:p>
        </w:tc>
        <w:tc>
          <w:tcPr>
            <w:tcW w:type="dxa" w:w="2551"/>
            <w:shd w:val="clear" w:color="auto" w:fill="FFFFFF"/>
          </w:tcPr>
          <w:p>
            <w:r/>
            <w:r>
              <w:rPr>
                <w:b/>
                <w:color w:val="1A1A1A"/>
                <w:sz w:val="18"/>
              </w:rPr>
              <w:t xml:space="preserve">Near-miss protection — </w:t>
            </w:r>
            <w:r>
              <w:rPr>
                <w:color w:val="555555"/>
                <w:sz w:val="18"/>
              </w:rPr>
              <w:t>Says pure lapse is too founder-friendly; wants pro-rata vesting, an extension, or revenue-share if 80%+ of a milestone is reached by deadline.</w:t>
            </w:r>
          </w:p>
        </w:tc>
        <w:tc>
          <w:tcPr>
            <w:tcW w:type="dxa" w:w="1474"/>
            <w:shd w:val="clear" w:color="auto" w:fill="FFF8E1"/>
          </w:tcPr>
          <w:p>
            <w:pPr>
              <w:jc w:val="center"/>
            </w:pPr>
            <w:r/>
            <w:r>
              <w:rPr>
                <w:b/>
                <w:i w:val="0"/>
                <w:color w:val="8A6D0F"/>
                <w:sz w:val="18"/>
              </w:rPr>
              <w:t>ACCEPT (MODIFIED)</w:t>
            </w:r>
          </w:p>
        </w:tc>
        <w:tc>
          <w:tcPr>
            <w:tcW w:type="dxa" w:w="5102"/>
            <w:shd w:val="clear" w:color="auto" w:fill="FFFFFF"/>
          </w:tcPr>
          <w:p>
            <w:r/>
            <w:r>
              <w:rPr>
                <w:b w:val="0"/>
                <w:i w:val="0"/>
                <w:color w:val="1A1A1A"/>
                <w:sz w:val="18"/>
              </w:rPr>
              <w:t>Agreed in principle via a new shortfall mechanism (Part B, Clause 7): if AUM reaches ≥ 80% of the target by the deadline, Simon receives an automatic single 6-month extension; if still short after the extension but ≥ 80%, he vests a pro-rata portion of that tranche equal to (AUM achieved ÷ target) × tranche %. Below 80%, the tranche lapses. This rewards genuine near-misses without giving away equity for material underperformance.</w:t>
            </w:r>
          </w:p>
        </w:tc>
      </w:tr>
      <w:tr>
        <w:tc>
          <w:tcPr>
            <w:tcW w:type="dxa" w:w="454"/>
            <w:shd w:val="clear" w:color="auto" w:fill="F5F5F5"/>
          </w:tcPr>
          <w:p>
            <w:pPr>
              <w:jc w:val="center"/>
            </w:pPr>
            <w:r/>
            <w:r>
              <w:rPr>
                <w:b/>
                <w:i w:val="0"/>
                <w:color w:val="1A1A1A"/>
                <w:sz w:val="18"/>
              </w:rPr>
              <w:t>8</w:t>
            </w:r>
          </w:p>
        </w:tc>
        <w:tc>
          <w:tcPr>
            <w:tcW w:type="dxa" w:w="2551"/>
            <w:shd w:val="clear" w:color="auto" w:fill="F5F5F5"/>
          </w:tcPr>
          <w:p>
            <w:r/>
            <w:r>
              <w:rPr>
                <w:b/>
                <w:color w:val="1A1A1A"/>
                <w:sz w:val="18"/>
              </w:rPr>
              <w:t xml:space="preserve">Extend Option C to all tranches — </w:t>
            </w:r>
            <w:r>
              <w:rPr>
                <w:color w:val="555555"/>
                <w:sz w:val="18"/>
              </w:rPr>
              <w:t>Counter-proposal that the one-time extension apply to all tranches, plus pro-rata recognition for narrowly-missed milestones.</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and now superseded by the single unified shortfall mechanism in Clause 7, which applies equally to all three tranches (extension + pro-rata vesting).</w:t>
            </w:r>
          </w:p>
        </w:tc>
      </w:tr>
      <w:tr>
        <w:tc>
          <w:tcPr>
            <w:tcW w:type="dxa" w:w="454"/>
            <w:shd w:val="clear" w:color="auto" w:fill="FFFFFF"/>
          </w:tcPr>
          <w:p>
            <w:pPr>
              <w:jc w:val="center"/>
            </w:pPr>
            <w:r/>
            <w:r>
              <w:rPr>
                <w:b/>
                <w:i w:val="0"/>
                <w:color w:val="1A1A1A"/>
                <w:sz w:val="18"/>
              </w:rPr>
              <w:t>9</w:t>
            </w:r>
          </w:p>
        </w:tc>
        <w:tc>
          <w:tcPr>
            <w:tcW w:type="dxa" w:w="2551"/>
            <w:shd w:val="clear" w:color="auto" w:fill="FFFFFF"/>
          </w:tcPr>
          <w:p>
            <w:r/>
            <w:r>
              <w:rPr>
                <w:b/>
                <w:color w:val="1A1A1A"/>
                <w:sz w:val="18"/>
              </w:rPr>
              <w:t xml:space="preserve">Fee model + reserved matters — </w:t>
            </w:r>
            <w:r>
              <w:rPr>
                <w:color w:val="555555"/>
                <w:sz w:val="18"/>
              </w:rPr>
              <w:t>Wants a full post-Finova profitability model, and consent rights (reserved matters) over FSP/JR changes, platform fees, performance fees, and custody/execution once he holds equity.</w:t>
            </w:r>
          </w:p>
        </w:tc>
        <w:tc>
          <w:tcPr>
            <w:tcW w:type="dxa" w:w="1474"/>
            <w:shd w:val="clear" w:color="auto" w:fill="FDECEA"/>
          </w:tcPr>
          <w:p>
            <w:pPr>
              <w:jc w:val="center"/>
            </w:pPr>
            <w:r/>
            <w:r>
              <w:rPr>
                <w:b/>
                <w:i w:val="0"/>
                <w:color w:val="B71C1C"/>
                <w:sz w:val="18"/>
              </w:rPr>
              <w:t>COUNTER</w:t>
            </w:r>
          </w:p>
        </w:tc>
        <w:tc>
          <w:tcPr>
            <w:tcW w:type="dxa" w:w="5102"/>
            <w:shd w:val="clear" w:color="auto" w:fill="FFFFFF"/>
          </w:tcPr>
          <w:p>
            <w:r/>
            <w:r>
              <w:rPr>
                <w:b w:val="0"/>
                <w:i w:val="0"/>
                <w:color w:val="1A1A1A"/>
                <w:sz w:val="18"/>
              </w:rPr>
              <w:t>Fee transparency: ACCEPTED — the Company will share the post-Finova fee/profitability model. Reserved-matters veto: COUNTERED. A 10% holder should not have a veto over operational and strategic decisions (choice of FSP, exchange, custody). Instead the Company offers: (i) consultation rights on material changes; (ii) an anti-prejudice covenant — no change may be made for the purpose of, or with the effect of, reducing Simon's economic entitlement below its then-current basis without his consent; and (iii) genuine reserved-matter consent rights that switch on only once Simon holds ≥ 25%. This protects Simon's economics without handing a minority a veto over the business.</w:t>
            </w:r>
          </w:p>
        </w:tc>
      </w:tr>
      <w:tr>
        <w:tc>
          <w:tcPr>
            <w:tcW w:type="dxa" w:w="454"/>
            <w:shd w:val="clear" w:color="auto" w:fill="F5F5F5"/>
          </w:tcPr>
          <w:p>
            <w:pPr>
              <w:jc w:val="center"/>
            </w:pPr>
            <w:r/>
            <w:r>
              <w:rPr>
                <w:b/>
                <w:i w:val="0"/>
                <w:color w:val="1A1A1A"/>
                <w:sz w:val="18"/>
              </w:rPr>
              <w:t>10</w:t>
            </w:r>
          </w:p>
        </w:tc>
        <w:tc>
          <w:tcPr>
            <w:tcW w:type="dxa" w:w="2551"/>
            <w:shd w:val="clear" w:color="auto" w:fill="F5F5F5"/>
          </w:tcPr>
          <w:p>
            <w:r/>
            <w:r>
              <w:rPr>
                <w:b/>
                <w:color w:val="1A1A1A"/>
                <w:sz w:val="18"/>
              </w:rPr>
              <w:t xml:space="preserve">Expand Good Leaver — </w:t>
            </w:r>
            <w:r>
              <w:rPr>
                <w:color w:val="555555"/>
                <w:sz w:val="18"/>
              </w:rPr>
              <w:t>Wants Good Leaver expanded to include constructive dismissal, material role reduction, Company failure to support, loss of FSP/JR not caused by Simon, or Company/Davin breach.</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 all reasonable and now included. If Simon leaves for any of these reasons he is a Good Leaver and retains earned shares.</w:t>
            </w:r>
          </w:p>
        </w:tc>
      </w:tr>
      <w:tr>
        <w:tc>
          <w:tcPr>
            <w:tcW w:type="dxa" w:w="454"/>
            <w:shd w:val="clear" w:color="auto" w:fill="FFFFFF"/>
          </w:tcPr>
          <w:p>
            <w:pPr>
              <w:jc w:val="center"/>
            </w:pPr>
            <w:r/>
            <w:r>
              <w:rPr>
                <w:b/>
                <w:i w:val="0"/>
                <w:color w:val="1A1A1A"/>
                <w:sz w:val="18"/>
              </w:rPr>
              <w:t>11</w:t>
            </w:r>
          </w:p>
        </w:tc>
        <w:tc>
          <w:tcPr>
            <w:tcW w:type="dxa" w:w="2551"/>
            <w:shd w:val="clear" w:color="auto" w:fill="FFFFFF"/>
          </w:tcPr>
          <w:p>
            <w:r/>
            <w:r>
              <w:rPr>
                <w:b/>
                <w:color w:val="1A1A1A"/>
                <w:sz w:val="18"/>
              </w:rPr>
              <w:t xml:space="preserve">Bad Leaver too severe — </w:t>
            </w:r>
            <w:r>
              <w:rPr>
                <w:color w:val="555555"/>
                <w:sz w:val="18"/>
              </w:rPr>
              <w:t>Says R1 buyback of ALL shares is too severe; wants Bad Leaver limited to proven fraud/dishonesty/wilful misconduct/gross negligence/final regulatory breach, earned shares at fair value except in fraud, and independent determination first.</w:t>
            </w:r>
          </w:p>
        </w:tc>
        <w:tc>
          <w:tcPr>
            <w:tcW w:type="dxa" w:w="1474"/>
            <w:shd w:val="clear" w:color="auto" w:fill="FFF8E1"/>
          </w:tcPr>
          <w:p>
            <w:pPr>
              <w:jc w:val="center"/>
            </w:pPr>
            <w:r/>
            <w:r>
              <w:rPr>
                <w:b/>
                <w:i w:val="0"/>
                <w:color w:val="8A6D0F"/>
                <w:sz w:val="18"/>
              </w:rPr>
              <w:t>ACCEPT (MODIFIED)</w:t>
            </w:r>
          </w:p>
        </w:tc>
        <w:tc>
          <w:tcPr>
            <w:tcW w:type="dxa" w:w="5102"/>
            <w:shd w:val="clear" w:color="auto" w:fill="FFFFFF"/>
          </w:tcPr>
          <w:p>
            <w:r/>
            <w:r>
              <w:rPr>
                <w:b w:val="0"/>
                <w:i w:val="0"/>
                <w:color w:val="1A1A1A"/>
                <w:sz w:val="18"/>
              </w:rPr>
              <w:t>Largely agreed. Bad Leaver is now limited to proven fraud, theft, dishonesty, wilful misconduct, gross negligence, or a final (non-appealable) regulatory finding against Simon. Consequence: unearned tranches lapse; EARNED shares are bought at fair market value EXCEPT where the trigger is fraud/theft/dishonesty, in which case earned shares are bought at par. Any forced transfer requires prior independent determination (auditor/expert or arbitrator).</w:t>
            </w:r>
          </w:p>
        </w:tc>
      </w:tr>
      <w:tr>
        <w:tc>
          <w:tcPr>
            <w:tcW w:type="dxa" w:w="454"/>
            <w:shd w:val="clear" w:color="auto" w:fill="F5F5F5"/>
          </w:tcPr>
          <w:p>
            <w:pPr>
              <w:jc w:val="center"/>
            </w:pPr>
            <w:r/>
            <w:r>
              <w:rPr>
                <w:b/>
                <w:i w:val="0"/>
                <w:color w:val="1A1A1A"/>
                <w:sz w:val="18"/>
              </w:rPr>
              <w:t>12</w:t>
            </w:r>
          </w:p>
        </w:tc>
        <w:tc>
          <w:tcPr>
            <w:tcW w:type="dxa" w:w="2551"/>
            <w:shd w:val="clear" w:color="auto" w:fill="F5F5F5"/>
          </w:tcPr>
          <w:p>
            <w:r/>
            <w:r>
              <w:rPr>
                <w:b/>
                <w:color w:val="1A1A1A"/>
                <w:sz w:val="18"/>
              </w:rPr>
              <w:t xml:space="preserve">Non-compete too broad — </w:t>
            </w:r>
            <w:r>
              <w:rPr>
                <w:color w:val="555555"/>
                <w:sz w:val="18"/>
              </w:rPr>
              <w:t>Wants the broad non-compete replaced with confidentiality + non-solicitation, and any restraint limited to clients he dealt with, 12 months, South Africa.</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 and legally prudent (SA restraints must be reasonable to be enforceable). The broad non-compete is replaced with (i) confidentiality, (ii) non-solicitation of clients Simon actually dealt with and of staff, for 12 months post-exit, within South Africa.</w:t>
            </w:r>
          </w:p>
        </w:tc>
      </w:tr>
      <w:tr>
        <w:tc>
          <w:tcPr>
            <w:tcW w:type="dxa" w:w="454"/>
            <w:shd w:val="clear" w:color="auto" w:fill="FFFFFF"/>
          </w:tcPr>
          <w:p>
            <w:pPr>
              <w:jc w:val="center"/>
            </w:pPr>
            <w:r/>
            <w:r>
              <w:rPr>
                <w:b/>
                <w:i w:val="0"/>
                <w:color w:val="1A1A1A"/>
                <w:sz w:val="18"/>
              </w:rPr>
              <w:t>13</w:t>
            </w:r>
          </w:p>
        </w:tc>
        <w:tc>
          <w:tcPr>
            <w:tcW w:type="dxa" w:w="2551"/>
            <w:shd w:val="clear" w:color="auto" w:fill="FFFFFF"/>
          </w:tcPr>
          <w:p>
            <w:r/>
            <w:r>
              <w:rPr>
                <w:b/>
                <w:color w:val="1A1A1A"/>
                <w:sz w:val="18"/>
              </w:rPr>
              <w:t xml:space="preserve">Drag-along minority protections — </w:t>
            </w:r>
            <w:r>
              <w:rPr>
                <w:color w:val="555555"/>
                <w:sz w:val="18"/>
              </w:rPr>
              <w:t>Wants same price/terms, cash-equivalent consideration, warranties limited to title/capacity, release from guarantees, and no related-party undervalue sale.</w:t>
            </w:r>
          </w:p>
        </w:tc>
        <w:tc>
          <w:tcPr>
            <w:tcW w:type="dxa" w:w="1474"/>
            <w:shd w:val="clear" w:color="auto" w:fill="E8F5E9"/>
          </w:tcPr>
          <w:p>
            <w:pPr>
              <w:jc w:val="center"/>
            </w:pPr>
            <w:r/>
            <w:r>
              <w:rPr>
                <w:b/>
                <w:i w:val="0"/>
                <w:color w:val="1B5E20"/>
                <w:sz w:val="18"/>
              </w:rPr>
              <w:t>ACCEPT</w:t>
            </w:r>
          </w:p>
        </w:tc>
        <w:tc>
          <w:tcPr>
            <w:tcW w:type="dxa" w:w="5102"/>
            <w:shd w:val="clear" w:color="auto" w:fill="FFFFFF"/>
          </w:tcPr>
          <w:p>
            <w:r/>
            <w:r>
              <w:rPr>
                <w:b w:val="0"/>
                <w:i w:val="0"/>
                <w:color w:val="1A1A1A"/>
                <w:sz w:val="18"/>
              </w:rPr>
              <w:t>Agreed — standard and fair minority protections on a drag. All included in Clause 10.</w:t>
            </w:r>
          </w:p>
        </w:tc>
      </w:tr>
      <w:tr>
        <w:tc>
          <w:tcPr>
            <w:tcW w:type="dxa" w:w="454"/>
            <w:shd w:val="clear" w:color="auto" w:fill="F5F5F5"/>
          </w:tcPr>
          <w:p>
            <w:pPr>
              <w:jc w:val="center"/>
            </w:pPr>
            <w:r/>
            <w:r>
              <w:rPr>
                <w:b/>
                <w:i w:val="0"/>
                <w:color w:val="1A1A1A"/>
                <w:sz w:val="18"/>
              </w:rPr>
              <w:t>14</w:t>
            </w:r>
          </w:p>
        </w:tc>
        <w:tc>
          <w:tcPr>
            <w:tcW w:type="dxa" w:w="2551"/>
            <w:shd w:val="clear" w:color="auto" w:fill="F5F5F5"/>
          </w:tcPr>
          <w:p>
            <w:r/>
            <w:r>
              <w:rPr>
                <w:b/>
                <w:color w:val="1A1A1A"/>
                <w:sz w:val="18"/>
              </w:rPr>
              <w:t xml:space="preserve">Limit clawback + reciprocity — </w:t>
            </w:r>
            <w:r>
              <w:rPr>
                <w:color w:val="555555"/>
                <w:sz w:val="18"/>
              </w:rPr>
              <w:t>Wants clawback limited to Simon's wilful misconduct/fraud/gross negligence/proven regulatory breach, plus reciprocal protection if Davin/Company compromises the JR/FSP.</w:t>
            </w:r>
          </w:p>
        </w:tc>
        <w:tc>
          <w:tcPr>
            <w:tcW w:type="dxa" w:w="1474"/>
            <w:shd w:val="clear" w:color="auto" w:fill="E8F5E9"/>
          </w:tcPr>
          <w:p>
            <w:pPr>
              <w:jc w:val="center"/>
            </w:pPr>
            <w:r/>
            <w:r>
              <w:rPr>
                <w:b/>
                <w:i w:val="0"/>
                <w:color w:val="1B5E20"/>
                <w:sz w:val="18"/>
              </w:rPr>
              <w:t>ACCEPT</w:t>
            </w:r>
          </w:p>
        </w:tc>
        <w:tc>
          <w:tcPr>
            <w:tcW w:type="dxa" w:w="5102"/>
            <w:shd w:val="clear" w:color="auto" w:fill="F5F5F5"/>
          </w:tcPr>
          <w:p>
            <w:r/>
            <w:r>
              <w:rPr>
                <w:b w:val="0"/>
                <w:i w:val="0"/>
                <w:color w:val="1A1A1A"/>
                <w:sz w:val="18"/>
              </w:rPr>
              <w:t>Agreed. Clawback is narrowed to those causes, and a reciprocal Good-Leaver trigger is added: if Davin's or the Company's acts/omissions cause loss of JR/FSP status or damage client relationships, Simon is treated as a Good Leaver and his earned equity is protected.</w:t>
            </w:r>
          </w:p>
        </w:tc>
      </w:tr>
      <w:tr>
        <w:tc>
          <w:tcPr>
            <w:tcW w:type="dxa" w:w="454"/>
            <w:shd w:val="clear" w:color="auto" w:fill="FFFFFF"/>
          </w:tcPr>
          <w:p>
            <w:pPr>
              <w:jc w:val="center"/>
            </w:pPr>
            <w:r/>
            <w:r>
              <w:rPr>
                <w:b/>
                <w:i w:val="0"/>
                <w:color w:val="1A1A1A"/>
                <w:sz w:val="18"/>
              </w:rPr>
              <w:t>15</w:t>
            </w:r>
          </w:p>
        </w:tc>
        <w:tc>
          <w:tcPr>
            <w:tcW w:type="dxa" w:w="2551"/>
            <w:shd w:val="clear" w:color="auto" w:fill="FFFFFF"/>
          </w:tcPr>
          <w:p>
            <w:r/>
            <w:r>
              <w:rPr>
                <w:b/>
                <w:color w:val="1A1A1A"/>
                <w:sz w:val="18"/>
              </w:rPr>
              <w:t xml:space="preserve">Anti-dilution clarification — </w:t>
            </w:r>
            <w:r>
              <w:rPr>
                <w:color w:val="555555"/>
                <w:sz w:val="18"/>
              </w:rPr>
              <w:t>Notes the 'anti-dilution' clause is really a pre-emptive right; wants clarity and a ban on issuing cheap shares/options to Davin/associates/staff to dilute him.</w:t>
            </w:r>
          </w:p>
        </w:tc>
        <w:tc>
          <w:tcPr>
            <w:tcW w:type="dxa" w:w="1474"/>
            <w:shd w:val="clear" w:color="auto" w:fill="FFF8E1"/>
          </w:tcPr>
          <w:p>
            <w:pPr>
              <w:jc w:val="center"/>
            </w:pPr>
            <w:r/>
            <w:r>
              <w:rPr>
                <w:b/>
                <w:i w:val="0"/>
                <w:color w:val="8A6D0F"/>
                <w:sz w:val="18"/>
              </w:rPr>
              <w:t>ACCEPT (MODIFIED)</w:t>
            </w:r>
          </w:p>
        </w:tc>
        <w:tc>
          <w:tcPr>
            <w:tcW w:type="dxa" w:w="5102"/>
            <w:shd w:val="clear" w:color="auto" w:fill="FFFFFF"/>
          </w:tcPr>
          <w:p>
            <w:r/>
            <w:r>
              <w:rPr>
                <w:b w:val="0"/>
                <w:i w:val="0"/>
                <w:color w:val="1A1A1A"/>
                <w:sz w:val="18"/>
              </w:rPr>
              <w:t>Clarified: Simon has PRO-RATA pre-emptive rights (a right of first offer on new issues at the same price), not a full ratchet or weighted-average anti-dilution. Added an anti-circumvention protection: no shares or options may be issued to Davin, associates, or staff below independently-determined fair value for the purpose of diluting Simon, without his consent.</w:t>
            </w:r>
          </w:p>
        </w:tc>
      </w:tr>
      <w:tr>
        <w:tc>
          <w:tcPr>
            <w:tcW w:type="dxa" w:w="454"/>
            <w:shd w:val="clear" w:color="auto" w:fill="F5F5F5"/>
          </w:tcPr>
          <w:p>
            <w:pPr>
              <w:jc w:val="center"/>
            </w:pPr>
            <w:r/>
            <w:r>
              <w:rPr>
                <w:b/>
                <w:i w:val="0"/>
                <w:color w:val="1A1A1A"/>
                <w:sz w:val="18"/>
              </w:rPr>
              <w:t>16</w:t>
            </w:r>
          </w:p>
        </w:tc>
        <w:tc>
          <w:tcPr>
            <w:tcW w:type="dxa" w:w="2551"/>
            <w:shd w:val="clear" w:color="auto" w:fill="F5F5F5"/>
          </w:tcPr>
          <w:p>
            <w:r/>
            <w:r>
              <w:rPr>
                <w:b/>
                <w:color w:val="1A1A1A"/>
                <w:sz w:val="18"/>
              </w:rPr>
              <w:t xml:space="preserve">No-circumvention / tail — </w:t>
            </w:r>
            <w:r>
              <w:rPr>
                <w:color w:val="555555"/>
                <w:sz w:val="18"/>
              </w:rPr>
              <w:t>Wants introductions that convert within 24-36 months after introduction or termination to count toward milestones and/or revenue share.</w:t>
            </w:r>
          </w:p>
        </w:tc>
        <w:tc>
          <w:tcPr>
            <w:tcW w:type="dxa" w:w="1474"/>
            <w:shd w:val="clear" w:color="auto" w:fill="FFF8E1"/>
          </w:tcPr>
          <w:p>
            <w:pPr>
              <w:jc w:val="center"/>
            </w:pPr>
            <w:r/>
            <w:r>
              <w:rPr>
                <w:b/>
                <w:i w:val="0"/>
                <w:color w:val="8A6D0F"/>
                <w:sz w:val="18"/>
              </w:rPr>
              <w:t>ACCEPT (MODIFIED)</w:t>
            </w:r>
          </w:p>
        </w:tc>
        <w:tc>
          <w:tcPr>
            <w:tcW w:type="dxa" w:w="5102"/>
            <w:shd w:val="clear" w:color="auto" w:fill="F5F5F5"/>
          </w:tcPr>
          <w:p>
            <w:r/>
            <w:r>
              <w:rPr>
                <w:b w:val="0"/>
                <w:i w:val="0"/>
                <w:color w:val="1A1A1A"/>
                <w:sz w:val="18"/>
              </w:rPr>
              <w:t>Agreed with a shorter tail: genuine Introduced Clients (per Clause 4) who convert within 18 months of introduction, or within 12 months of Simon's exit, count toward milestones and any applicable revenue share. A 24-36 month tail is too long and would burden the Company well after Simon's involvement ends.</w:t>
            </w:r>
          </w:p>
        </w:tc>
      </w:tr>
      <w:tr>
        <w:tc>
          <w:tcPr>
            <w:tcW w:type="dxa" w:w="454"/>
            <w:shd w:val="clear" w:color="auto" w:fill="FFFFFF"/>
          </w:tcPr>
          <w:p>
            <w:pPr>
              <w:jc w:val="center"/>
            </w:pPr>
            <w:r/>
            <w:r>
              <w:rPr>
                <w:b/>
                <w:i w:val="0"/>
                <w:color w:val="1A1A1A"/>
                <w:sz w:val="18"/>
              </w:rPr>
              <w:t>17</w:t>
            </w:r>
          </w:p>
        </w:tc>
        <w:tc>
          <w:tcPr>
            <w:tcW w:type="dxa" w:w="2551"/>
            <w:shd w:val="clear" w:color="auto" w:fill="FFFFFF"/>
          </w:tcPr>
          <w:p>
            <w:r/>
            <w:r>
              <w:rPr>
                <w:b/>
                <w:color w:val="1A1A1A"/>
                <w:sz w:val="18"/>
              </w:rPr>
              <w:t xml:space="preserve">Tax advice on sweat equity — </w:t>
            </w:r>
            <w:r>
              <w:rPr>
                <w:color w:val="555555"/>
                <w:sz w:val="18"/>
              </w:rPr>
              <w:t>Wants independent tax advice before any nil-consideration share transfer, as the 10% sweat equity may have tax consequences.</w:t>
            </w:r>
          </w:p>
        </w:tc>
        <w:tc>
          <w:tcPr>
            <w:tcW w:type="dxa" w:w="1474"/>
            <w:shd w:val="clear" w:color="auto" w:fill="E8F5E9"/>
          </w:tcPr>
          <w:p>
            <w:pPr>
              <w:jc w:val="center"/>
            </w:pPr>
            <w:r/>
            <w:r>
              <w:rPr>
                <w:b/>
                <w:i w:val="0"/>
                <w:color w:val="1B5E20"/>
                <w:sz w:val="18"/>
              </w:rPr>
              <w:t>ACCEPT</w:t>
            </w:r>
          </w:p>
        </w:tc>
        <w:tc>
          <w:tcPr>
            <w:tcW w:type="dxa" w:w="5102"/>
            <w:shd w:val="clear" w:color="auto" w:fill="FFFFFF"/>
          </w:tcPr>
          <w:p>
            <w:r/>
            <w:r>
              <w:rPr>
                <w:b w:val="0"/>
                <w:i w:val="0"/>
                <w:color w:val="1A1A1A"/>
                <w:sz w:val="18"/>
              </w:rPr>
              <w:t>Agreed — and important for both parties. Independent tax advice is now a condition precedent. Nil-consideration and below-value share transfers can trigger income-tax, CGT, and donations-tax questions that must be cleared first.</w:t>
            </w:r>
          </w:p>
        </w:tc>
      </w:tr>
    </w:tbl>
    <w:p>
      <w:r>
        <w:br w:type="page"/>
      </w:r>
    </w:p>
    <w:p>
      <w:pPr>
        <w:keepNext/>
        <w:spacing w:before="280" w:after="80"/>
      </w:pPr>
      <w:r>
        <w:rPr>
          <w:rFonts w:ascii="Calibri" w:hAnsi="Calibri"/>
          <w:b/>
          <w:color w:val="C9A227"/>
          <w:sz w:val="28"/>
        </w:rPr>
        <w:t>PART B — REVISED TERM SHEET CLAUSES</w:t>
      </w:r>
    </w:p>
    <w:p>
      <w:pPr>
        <w:spacing w:before="40" w:after="120"/>
      </w:pPr>
      <w:r>
        <w:rPr>
          <w:b w:val="0"/>
          <w:i/>
          <w:color w:val="555555"/>
          <w:sz w:val="18"/>
        </w:rPr>
        <w:t>The clauses below supersede the corresponding clauses in the v2 proposal and give effect to the positions in Part A.</w:t>
      </w:r>
    </w:p>
    <w:p>
      <w:pPr>
        <w:keepNext/>
        <w:spacing w:before="280" w:after="80"/>
      </w:pPr>
      <w:r>
        <w:rPr>
          <w:rFonts w:ascii="Calibri" w:hAnsi="Calibri"/>
          <w:b/>
          <w:color w:val="C9A227"/>
          <w:sz w:val="28"/>
        </w:rPr>
        <w:t>1.  PARTIES &amp; COMPANY</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Founder</w:t>
            </w:r>
          </w:p>
        </w:tc>
        <w:tc>
          <w:tcPr>
            <w:tcW w:type="dxa" w:w="6520"/>
            <w:shd w:val="clear" w:color="auto" w:fill="F5F5F5"/>
          </w:tcPr>
          <w:p>
            <w:pPr>
              <w:spacing w:before="20" w:after="40"/>
            </w:pPr>
            <w:r/>
            <w:r>
              <w:rPr>
                <w:color w:val="1A1A1A"/>
                <w:sz w:val="20"/>
              </w:rPr>
              <w:t>Davin Cloete, in his personal capacity and as Director of the Company.</w:t>
            </w:r>
          </w:p>
        </w:tc>
      </w:tr>
      <w:tr>
        <w:tc>
          <w:tcPr>
            <w:tcW w:type="dxa" w:w="2835"/>
            <w:shd w:val="clear" w:color="auto" w:fill="FFFFFF"/>
          </w:tcPr>
          <w:p>
            <w:r/>
            <w:r>
              <w:rPr>
                <w:b/>
                <w:i w:val="0"/>
                <w:color w:val="1A1A1A"/>
                <w:sz w:val="20"/>
              </w:rPr>
              <w:t>Partner</w:t>
            </w:r>
          </w:p>
        </w:tc>
        <w:tc>
          <w:tcPr>
            <w:tcW w:type="dxa" w:w="6520"/>
            <w:shd w:val="clear" w:color="auto" w:fill="FFFFFF"/>
          </w:tcPr>
          <w:p>
            <w:pPr>
              <w:spacing w:before="20" w:after="40"/>
            </w:pPr>
            <w:r/>
            <w:r>
              <w:rPr>
                <w:color w:val="1A1A1A"/>
                <w:sz w:val="20"/>
              </w:rPr>
              <w:t>Simon Hobday, in his personal capacity.</w:t>
            </w:r>
          </w:p>
        </w:tc>
      </w:tr>
      <w:tr>
        <w:tc>
          <w:tcPr>
            <w:tcW w:type="dxa" w:w="2835"/>
            <w:shd w:val="clear" w:color="auto" w:fill="F5F5F5"/>
          </w:tcPr>
          <w:p>
            <w:r/>
            <w:r>
              <w:rPr>
                <w:b/>
                <w:i w:val="0"/>
                <w:color w:val="1A1A1A"/>
                <w:sz w:val="20"/>
              </w:rPr>
              <w:t>Company</w:t>
            </w:r>
          </w:p>
        </w:tc>
        <w:tc>
          <w:tcPr>
            <w:tcW w:type="dxa" w:w="6520"/>
            <w:shd w:val="clear" w:color="auto" w:fill="F5F5F5"/>
          </w:tcPr>
          <w:p>
            <w:pPr>
              <w:spacing w:before="20" w:after="40"/>
            </w:pPr>
            <w:r/>
            <w:r>
              <w:rPr>
                <w:color w:val="1A1A1A"/>
                <w:sz w:val="20"/>
              </w:rPr>
              <w:t>BitWealth (Pty) Ltd, operating a Bitcoin DCA investment management platform.</w:t>
            </w:r>
          </w:p>
        </w:tc>
      </w:tr>
      <w:tr>
        <w:tc>
          <w:tcPr>
            <w:tcW w:type="dxa" w:w="2835"/>
            <w:shd w:val="clear" w:color="auto" w:fill="FFFFFF"/>
          </w:tcPr>
          <w:p>
            <w:r/>
            <w:r>
              <w:rPr>
                <w:b/>
                <w:i w:val="0"/>
                <w:color w:val="1A1A1A"/>
                <w:sz w:val="20"/>
              </w:rPr>
              <w:t>FSP</w:t>
            </w:r>
          </w:p>
        </w:tc>
        <w:tc>
          <w:tcPr>
            <w:tcW w:type="dxa" w:w="6520"/>
            <w:shd w:val="clear" w:color="auto" w:fill="FFFFFF"/>
          </w:tcPr>
          <w:p>
            <w:pPr>
              <w:spacing w:before="20" w:after="40"/>
            </w:pPr>
            <w:r/>
            <w:r>
              <w:rPr>
                <w:color w:val="1A1A1A"/>
                <w:sz w:val="20"/>
              </w:rPr>
              <w:t>Finova Capital (Pty) Ltd — BitWealth to be appointed a Juristic Representative (JR) under Finova's FSP licence (20% performance-fee share + 50% platform-fee share; no fixed monthly hosting fee).</w:t>
            </w:r>
          </w:p>
        </w:tc>
      </w:tr>
    </w:tbl>
    <w:p>
      <w:pPr>
        <w:spacing w:after="80"/>
      </w:pPr>
    </w:p>
    <w:p>
      <w:pPr>
        <w:keepNext/>
        <w:spacing w:before="280" w:after="80"/>
      </w:pPr>
      <w:r>
        <w:rPr>
          <w:rFonts w:ascii="Calibri" w:hAnsi="Calibri"/>
          <w:b/>
          <w:color w:val="C9A227"/>
          <w:sz w:val="28"/>
        </w:rPr>
        <w:t>2.  IP FOUNDATION &amp; EVIDENCE  (ADDRESSES COMMENT 1)</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IP Asset</w:t>
            </w:r>
          </w:p>
        </w:tc>
        <w:tc>
          <w:tcPr>
            <w:tcW w:type="dxa" w:w="6520"/>
            <w:shd w:val="clear" w:color="auto" w:fill="F5F5F5"/>
          </w:tcPr>
          <w:p>
            <w:pPr>
              <w:spacing w:before="20" w:after="40"/>
            </w:pPr>
            <w:r/>
            <w:r>
              <w:rPr>
                <w:color w:val="1A1A1A"/>
                <w:sz w:val="20"/>
              </w:rPr>
              <w:t>The BitWealth LTH PVR platform, transferred to the Company under a signed IP Transfer Agreement; recorded on the balance sheet at an agreed value of R2,500,000.</w:t>
            </w:r>
          </w:p>
        </w:tc>
      </w:tr>
      <w:tr>
        <w:tc>
          <w:tcPr>
            <w:tcW w:type="dxa" w:w="2835"/>
            <w:shd w:val="clear" w:color="auto" w:fill="FFFFFF"/>
          </w:tcPr>
          <w:p>
            <w:r/>
            <w:r>
              <w:rPr>
                <w:b/>
                <w:i w:val="0"/>
                <w:color w:val="1A1A1A"/>
                <w:sz w:val="20"/>
              </w:rPr>
              <w:t>Evidence Pack</w:t>
            </w:r>
          </w:p>
        </w:tc>
        <w:tc>
          <w:tcPr>
            <w:tcW w:type="dxa" w:w="6520"/>
            <w:shd w:val="clear" w:color="auto" w:fill="FFFFFF"/>
          </w:tcPr>
          <w:p>
            <w:pPr>
              <w:spacing w:before="20" w:after="40"/>
            </w:pPr>
            <w:r/>
            <w:r>
              <w:rPr>
                <w:color w:val="1A1A1A"/>
                <w:sz w:val="20"/>
              </w:rPr>
              <w:t>Before signing, the Company will make available to Simon:</w:t>
            </w:r>
          </w:p>
          <w:p>
            <w:pPr>
              <w:spacing w:before="20" w:after="40"/>
            </w:pPr>
            <w:r>
              <w:rPr>
                <w:b/>
                <w:color w:val="1A1A1A"/>
                <w:sz w:val="20"/>
              </w:rPr>
              <w:t>(a) the executed IP Transfer Agreement;</w:t>
            </w:r>
          </w:p>
          <w:p>
            <w:pPr>
              <w:spacing w:before="20" w:after="40"/>
            </w:pPr>
            <w:r>
              <w:rPr>
                <w:b/>
                <w:color w:val="1A1A1A"/>
                <w:sz w:val="20"/>
              </w:rPr>
              <w:t>(b) developer/contractor IP-assignment confirmations;</w:t>
            </w:r>
          </w:p>
          <w:p>
            <w:pPr>
              <w:spacing w:before="20" w:after="40"/>
            </w:pPr>
            <w:r>
              <w:rPr>
                <w:b/>
                <w:color w:val="1A1A1A"/>
                <w:sz w:val="20"/>
              </w:rPr>
              <w:t>(c) a list of third-party and open-source dependencies and their licences;</w:t>
            </w:r>
          </w:p>
          <w:p>
            <w:pPr>
              <w:spacing w:before="20" w:after="40"/>
            </w:pPr>
            <w:r>
              <w:rPr>
                <w:b/>
                <w:color w:val="1A1A1A"/>
                <w:sz w:val="20"/>
              </w:rPr>
              <w:t>(d) a warranty of title and no known competing claims.</w:t>
            </w:r>
          </w:p>
        </w:tc>
      </w:tr>
      <w:tr>
        <w:tc>
          <w:tcPr>
            <w:tcW w:type="dxa" w:w="2835"/>
            <w:shd w:val="clear" w:color="auto" w:fill="F5F5F5"/>
          </w:tcPr>
          <w:p>
            <w:r/>
            <w:r>
              <w:rPr>
                <w:b/>
                <w:i w:val="0"/>
                <w:color w:val="1A1A1A"/>
                <w:sz w:val="20"/>
              </w:rPr>
              <w:t>Valuation Basis</w:t>
            </w:r>
          </w:p>
        </w:tc>
        <w:tc>
          <w:tcPr>
            <w:tcW w:type="dxa" w:w="6520"/>
            <w:shd w:val="clear" w:color="auto" w:fill="F5F5F5"/>
          </w:tcPr>
          <w:p>
            <w:pPr>
              <w:spacing w:before="20" w:after="40"/>
            </w:pPr>
            <w:r/>
            <w:r>
              <w:rPr>
                <w:color w:val="1A1A1A"/>
                <w:sz w:val="20"/>
              </w:rPr>
              <w:t>R2.5m is the agreed commercial consideration, not an independent valuation. Davin warrants ownership and title, not market value. Simon may commission an independent valuation at his own cost.</w:t>
            </w:r>
          </w:p>
        </w:tc>
      </w:tr>
    </w:tbl>
    <w:p>
      <w:pPr>
        <w:spacing w:after="80"/>
      </w:pPr>
    </w:p>
    <w:p>
      <w:pPr>
        <w:keepNext/>
        <w:spacing w:before="280" w:after="80"/>
      </w:pPr>
      <w:r>
        <w:rPr>
          <w:rFonts w:ascii="Calibri" w:hAnsi="Calibri"/>
          <w:b/>
          <w:color w:val="C9A227"/>
          <w:sz w:val="28"/>
        </w:rPr>
        <w:t>3.  SIMON'S ROLE &amp; FAIS  (ADDRESSES COMMENTS 3 &amp; 4)</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Role</w:t>
            </w:r>
          </w:p>
        </w:tc>
        <w:tc>
          <w:tcPr>
            <w:tcW w:type="dxa" w:w="6520"/>
            <w:shd w:val="clear" w:color="auto" w:fill="F5F5F5"/>
          </w:tcPr>
          <w:p>
            <w:pPr>
              <w:spacing w:before="20" w:after="40"/>
            </w:pPr>
            <w:r/>
            <w:r>
              <w:rPr>
                <w:color w:val="1A1A1A"/>
                <w:sz w:val="20"/>
              </w:rPr>
              <w:t>Non-executive Head of Business Development (consulting engagement), with defined quarterly client-acquisition deliverables agreed by the Board.</w:t>
            </w:r>
          </w:p>
        </w:tc>
      </w:tr>
      <w:tr>
        <w:tc>
          <w:tcPr>
            <w:tcW w:type="dxa" w:w="2835"/>
            <w:shd w:val="clear" w:color="auto" w:fill="FFFFFF"/>
          </w:tcPr>
          <w:p>
            <w:r/>
            <w:r>
              <w:rPr>
                <w:b/>
                <w:i w:val="0"/>
                <w:color w:val="1A1A1A"/>
                <w:sz w:val="20"/>
              </w:rPr>
              <w:t>Support &amp; Budget</w:t>
            </w:r>
          </w:p>
        </w:tc>
        <w:tc>
          <w:tcPr>
            <w:tcW w:type="dxa" w:w="6520"/>
            <w:shd w:val="clear" w:color="auto" w:fill="FFFFFF"/>
          </w:tcPr>
          <w:p>
            <w:pPr>
              <w:spacing w:before="20" w:after="40"/>
            </w:pPr>
            <w:r/>
            <w:r>
              <w:rPr>
                <w:color w:val="1A1A1A"/>
                <w:sz w:val="20"/>
              </w:rPr>
              <w:t>The Company will provide reasonable sales, marketing, and compliance/admin support, and an annual marketing/sales budget approved by the Board. Obligations on both sides are defined, not open-ended.</w:t>
            </w:r>
          </w:p>
        </w:tc>
      </w:tr>
      <w:tr>
        <w:tc>
          <w:tcPr>
            <w:tcW w:type="dxa" w:w="2835"/>
            <w:shd w:val="clear" w:color="auto" w:fill="F5F5F5"/>
          </w:tcPr>
          <w:p>
            <w:r/>
            <w:r>
              <w:rPr>
                <w:b/>
                <w:i w:val="0"/>
                <w:color w:val="1A1A1A"/>
                <w:sz w:val="20"/>
              </w:rPr>
              <w:t>Time Commitment</w:t>
            </w:r>
          </w:p>
        </w:tc>
        <w:tc>
          <w:tcPr>
            <w:tcW w:type="dxa" w:w="6520"/>
            <w:shd w:val="clear" w:color="auto" w:fill="F5F5F5"/>
          </w:tcPr>
          <w:p>
            <w:pPr>
              <w:spacing w:before="20" w:after="40"/>
            </w:pPr>
            <w:r/>
            <w:r>
              <w:rPr>
                <w:color w:val="1A1A1A"/>
                <w:sz w:val="20"/>
              </w:rPr>
              <w:t>An agreed minimum time commitment per month, recorded in the engagement letter.</w:t>
            </w:r>
          </w:p>
        </w:tc>
      </w:tr>
      <w:tr>
        <w:tc>
          <w:tcPr>
            <w:tcW w:type="dxa" w:w="2835"/>
            <w:shd w:val="clear" w:color="auto" w:fill="FFFFFF"/>
          </w:tcPr>
          <w:p>
            <w:r/>
            <w:r>
              <w:rPr>
                <w:b/>
                <w:i w:val="0"/>
                <w:color w:val="1A1A1A"/>
                <w:sz w:val="20"/>
              </w:rPr>
              <w:t>FAIS Accreditation</w:t>
            </w:r>
          </w:p>
        </w:tc>
        <w:tc>
          <w:tcPr>
            <w:tcW w:type="dxa" w:w="6520"/>
            <w:shd w:val="clear" w:color="auto" w:fill="FFFFFF"/>
          </w:tcPr>
          <w:p>
            <w:pPr>
              <w:spacing w:before="20" w:after="40"/>
            </w:pPr>
            <w:r/>
            <w:r>
              <w:rPr>
                <w:color w:val="1A1A1A"/>
                <w:sz w:val="20"/>
              </w:rPr>
              <w:t>Simon will use reasonable endeavours to obtain and maintain the FAIS accreditation required for his representative role. Delays caused by the FSCA, Finova, paperwork, or the Company are expressly excluded. Only a wilful or negligent failure by Simon constitutes a breach.</w:t>
            </w:r>
          </w:p>
        </w:tc>
      </w:tr>
    </w:tbl>
    <w:p>
      <w:pPr>
        <w:spacing w:after="80"/>
      </w:pPr>
    </w:p>
    <w:p>
      <w:pPr>
        <w:keepNext/>
        <w:spacing w:before="280" w:after="80"/>
      </w:pPr>
      <w:r>
        <w:rPr>
          <w:rFonts w:ascii="Calibri" w:hAnsi="Calibri"/>
          <w:b/>
          <w:color w:val="C9A227"/>
          <w:sz w:val="28"/>
        </w:rPr>
        <w:t>4.  INTRODUCED CLIENT REGISTER  (ADDRESSES COMMENTS 2 &amp; 16)</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Register</w:t>
            </w:r>
          </w:p>
        </w:tc>
        <w:tc>
          <w:tcPr>
            <w:tcW w:type="dxa" w:w="6520"/>
            <w:shd w:val="clear" w:color="auto" w:fill="F5F5F5"/>
          </w:tcPr>
          <w:p>
            <w:pPr>
              <w:spacing w:before="20" w:after="40"/>
            </w:pPr>
            <w:r/>
            <w:r>
              <w:rPr>
                <w:color w:val="1A1A1A"/>
                <w:sz w:val="20"/>
              </w:rPr>
              <w:t>The Company maintains an 'Introduced Client Register'. Each client Simon introduces is logged within 5 business days of first meaningful contact.</w:t>
            </w:r>
          </w:p>
        </w:tc>
      </w:tr>
      <w:tr>
        <w:tc>
          <w:tcPr>
            <w:tcW w:type="dxa" w:w="2835"/>
            <w:shd w:val="clear" w:color="auto" w:fill="FFFFFF"/>
          </w:tcPr>
          <w:p>
            <w:r/>
            <w:r>
              <w:rPr>
                <w:b/>
                <w:i w:val="0"/>
                <w:color w:val="1A1A1A"/>
                <w:sz w:val="20"/>
              </w:rPr>
              <w:t>Definition</w:t>
            </w:r>
          </w:p>
        </w:tc>
        <w:tc>
          <w:tcPr>
            <w:tcW w:type="dxa" w:w="6520"/>
            <w:shd w:val="clear" w:color="auto" w:fill="FFFFFF"/>
          </w:tcPr>
          <w:p>
            <w:pPr>
              <w:spacing w:before="20" w:after="40"/>
            </w:pPr>
            <w:r/>
            <w:r>
              <w:rPr>
                <w:color w:val="1A1A1A"/>
                <w:sz w:val="20"/>
              </w:rPr>
              <w:t>An 'Introduced Client' is one where Simon makes the first meaningful contact and who is not already in the Company's active pipeline. Each client is credited once. Disputed entries are resolved by the Board acting reasonably, failing which by independent expert.</w:t>
            </w:r>
          </w:p>
        </w:tc>
      </w:tr>
      <w:tr>
        <w:tc>
          <w:tcPr>
            <w:tcW w:type="dxa" w:w="2835"/>
            <w:shd w:val="clear" w:color="auto" w:fill="F5F5F5"/>
          </w:tcPr>
          <w:p>
            <w:r/>
            <w:r>
              <w:rPr>
                <w:b/>
                <w:i w:val="0"/>
                <w:color w:val="1A1A1A"/>
                <w:sz w:val="20"/>
              </w:rPr>
              <w:t>Conversion Tail</w:t>
            </w:r>
          </w:p>
        </w:tc>
        <w:tc>
          <w:tcPr>
            <w:tcW w:type="dxa" w:w="6520"/>
            <w:shd w:val="clear" w:color="auto" w:fill="F5F5F5"/>
          </w:tcPr>
          <w:p>
            <w:pPr>
              <w:spacing w:before="20" w:after="40"/>
            </w:pPr>
            <w:r/>
            <w:r>
              <w:rPr>
                <w:color w:val="1A1A1A"/>
                <w:sz w:val="20"/>
              </w:rPr>
              <w:t>An Introduced Client who converts within 18 months of introduction, or within 12 months of Simon's exit, counts toward milestones and any applicable revenue share (Part C).</w:t>
            </w:r>
          </w:p>
        </w:tc>
      </w:tr>
    </w:tbl>
    <w:p>
      <w:pPr>
        <w:spacing w:after="80"/>
      </w:pPr>
    </w:p>
    <w:p>
      <w:pPr>
        <w:keepNext/>
        <w:spacing w:before="280" w:after="80"/>
      </w:pPr>
      <w:r>
        <w:rPr>
          <w:rFonts w:ascii="Calibri" w:hAnsi="Calibri"/>
          <w:b/>
          <w:color w:val="C9A227"/>
          <w:sz w:val="28"/>
        </w:rPr>
        <w:t>5.  FOUNDING EQUITY GRANT (10%)  (ADDRESSES COMMENT 17)</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Grant</w:t>
            </w:r>
          </w:p>
        </w:tc>
        <w:tc>
          <w:tcPr>
            <w:tcW w:type="dxa" w:w="6520"/>
            <w:shd w:val="clear" w:color="auto" w:fill="F5F5F5"/>
          </w:tcPr>
          <w:p>
            <w:pPr>
              <w:spacing w:before="20" w:after="40"/>
            </w:pPr>
            <w:r/>
            <w:r>
              <w:rPr>
                <w:color w:val="1A1A1A"/>
                <w:sz w:val="20"/>
              </w:rPr>
              <w:t>Davin transfers 100 ordinary shares (10%) to Simon for nil consideration on signing. No performance condition attaches to the founding 10%.</w:t>
            </w:r>
          </w:p>
        </w:tc>
      </w:tr>
      <w:tr>
        <w:tc>
          <w:tcPr>
            <w:tcW w:type="dxa" w:w="2835"/>
            <w:shd w:val="clear" w:color="auto" w:fill="FFFFFF"/>
          </w:tcPr>
          <w:p>
            <w:r/>
            <w:r>
              <w:rPr>
                <w:b/>
                <w:i w:val="0"/>
                <w:color w:val="1A1A1A"/>
                <w:sz w:val="20"/>
              </w:rPr>
              <w:t>Tax Advice</w:t>
            </w:r>
          </w:p>
        </w:tc>
        <w:tc>
          <w:tcPr>
            <w:tcW w:type="dxa" w:w="6520"/>
            <w:shd w:val="clear" w:color="auto" w:fill="FFFFFF"/>
          </w:tcPr>
          <w:p>
            <w:pPr>
              <w:spacing w:before="20" w:after="40"/>
            </w:pPr>
            <w:r/>
            <w:r>
              <w:rPr>
                <w:color w:val="1A1A1A"/>
                <w:sz w:val="20"/>
              </w:rPr>
              <w:t>Both parties will obtain independent tax advice before any nil- or below-value transfer. The parties acknowledge potential income-tax, CGT, and donations-tax consequences of sweat equity, to be cleared before implementation.</w:t>
            </w:r>
          </w:p>
        </w:tc>
      </w:tr>
    </w:tbl>
    <w:p>
      <w:pPr>
        <w:spacing w:after="80"/>
      </w:pPr>
    </w:p>
    <w:p>
      <w:pPr>
        <w:keepNext/>
        <w:spacing w:before="280" w:after="80"/>
      </w:pPr>
      <w:r>
        <w:rPr>
          <w:rFonts w:ascii="Calibri" w:hAnsi="Calibri"/>
          <w:b/>
          <w:color w:val="C9A227"/>
          <w:sz w:val="28"/>
        </w:rPr>
        <w:t>6.  EARN-IN MILESTONES (ADDITIONAL 30%)  (ADDRESSES COMMENTS 5 &amp; 6)</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Tranches</w:t>
            </w:r>
          </w:p>
        </w:tc>
        <w:tc>
          <w:tcPr>
            <w:tcW w:type="dxa" w:w="6520"/>
            <w:shd w:val="clear" w:color="auto" w:fill="F5F5F5"/>
          </w:tcPr>
          <w:p>
            <w:pPr>
              <w:spacing w:before="20" w:after="40"/>
            </w:pPr>
            <w:r/>
            <w:r>
              <w:rPr>
                <w:color w:val="1A1A1A"/>
                <w:sz w:val="20"/>
              </w:rPr>
              <w:t>Three equal 10% tranches (100 shares each), each a transfer of existing shares from Davin. Targets: R50m / R100m / R200m AUM. Deadlines: 24 / 48 / 72 months from the Commencement Date.</w:t>
            </w:r>
          </w:p>
        </w:tc>
      </w:tr>
      <w:tr>
        <w:tc>
          <w:tcPr>
            <w:tcW w:type="dxa" w:w="2835"/>
            <w:shd w:val="clear" w:color="auto" w:fill="FFFFFF"/>
          </w:tcPr>
          <w:p>
            <w:r/>
            <w:r>
              <w:rPr>
                <w:b/>
                <w:i w:val="0"/>
                <w:color w:val="1A1A1A"/>
                <w:sz w:val="20"/>
              </w:rPr>
              <w:t>Objective Verification</w:t>
            </w:r>
          </w:p>
        </w:tc>
        <w:tc>
          <w:tcPr>
            <w:tcW w:type="dxa" w:w="6520"/>
            <w:shd w:val="clear" w:color="auto" w:fill="FFFFFF"/>
          </w:tcPr>
          <w:p>
            <w:pPr>
              <w:spacing w:before="20" w:after="40"/>
            </w:pPr>
            <w:r/>
            <w:r>
              <w:rPr>
                <w:color w:val="1A1A1A"/>
                <w:sz w:val="20"/>
              </w:rPr>
              <w:t>A milestone is achieved when total AUM meets the target at a month-end AND remains at or above it to the next month-end (two consecutive month-ends), verified from platform, custodian, exchange, and accounting records. This prevents a one-day spike from triggering a permanent equity transfer.</w:t>
            </w:r>
          </w:p>
        </w:tc>
      </w:tr>
      <w:tr>
        <w:tc>
          <w:tcPr>
            <w:tcW w:type="dxa" w:w="2835"/>
            <w:shd w:val="clear" w:color="auto" w:fill="F5F5F5"/>
          </w:tcPr>
          <w:p>
            <w:r/>
            <w:r>
              <w:rPr>
                <w:b/>
                <w:i w:val="0"/>
                <w:color w:val="1A1A1A"/>
                <w:sz w:val="20"/>
              </w:rPr>
              <w:t>Administrative Confirmation</w:t>
            </w:r>
          </w:p>
        </w:tc>
        <w:tc>
          <w:tcPr>
            <w:tcW w:type="dxa" w:w="6520"/>
            <w:shd w:val="clear" w:color="auto" w:fill="F5F5F5"/>
          </w:tcPr>
          <w:p>
            <w:pPr>
              <w:spacing w:before="20" w:after="40"/>
            </w:pPr>
            <w:r/>
            <w:r>
              <w:rPr>
                <w:color w:val="1A1A1A"/>
                <w:sz w:val="20"/>
              </w:rPr>
              <w:t>Board confirmation is administrative only and may not be unreasonably withheld or delayed. If the evidence shows the threshold met and sustained and the Board has not confirmed within 10 business days, the milestone is deemed achieved.</w:t>
            </w:r>
          </w:p>
        </w:tc>
      </w:tr>
      <w:tr>
        <w:tc>
          <w:tcPr>
            <w:tcW w:type="dxa" w:w="2835"/>
            <w:shd w:val="clear" w:color="auto" w:fill="FFFFFF"/>
          </w:tcPr>
          <w:p>
            <w:r/>
            <w:r>
              <w:rPr>
                <w:b/>
                <w:i w:val="0"/>
                <w:color w:val="1A1A1A"/>
                <w:sz w:val="20"/>
              </w:rPr>
              <w:t>Sequence</w:t>
            </w:r>
          </w:p>
        </w:tc>
        <w:tc>
          <w:tcPr>
            <w:tcW w:type="dxa" w:w="6520"/>
            <w:shd w:val="clear" w:color="auto" w:fill="FFFFFF"/>
          </w:tcPr>
          <w:p>
            <w:pPr>
              <w:spacing w:before="20" w:after="40"/>
            </w:pPr>
            <w:r/>
            <w:r>
              <w:rPr>
                <w:color w:val="1A1A1A"/>
                <w:sz w:val="20"/>
              </w:rPr>
              <w:t>Milestones are achieved in sequence; a later tranche cannot vest before the earlier tranche has been earned (or its shortfall resolved under Clause 7).</w:t>
            </w:r>
          </w:p>
        </w:tc>
      </w:tr>
    </w:tbl>
    <w:p>
      <w:pPr>
        <w:spacing w:after="80"/>
      </w:pPr>
    </w:p>
    <w:p>
      <w:pPr>
        <w:keepNext/>
        <w:spacing w:before="280" w:after="80"/>
      </w:pPr>
      <w:r>
        <w:rPr>
          <w:rFonts w:ascii="Calibri" w:hAnsi="Calibri"/>
          <w:b/>
          <w:color w:val="C9A227"/>
          <w:sz w:val="28"/>
        </w:rPr>
        <w:t>7.  MILESTONE SHORTFALL — NEAR-MISS VESTING  (ADDRESSES COMMENTS 7 &amp; 8)</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Replaces v2 options</w:t>
            </w:r>
          </w:p>
        </w:tc>
        <w:tc>
          <w:tcPr>
            <w:tcW w:type="dxa" w:w="6520"/>
            <w:shd w:val="clear" w:color="auto" w:fill="F5F5F5"/>
          </w:tcPr>
          <w:p>
            <w:pPr>
              <w:spacing w:before="20" w:after="40"/>
            </w:pPr>
            <w:r/>
            <w:r>
              <w:rPr>
                <w:color w:val="1A1A1A"/>
                <w:sz w:val="20"/>
              </w:rPr>
              <w:t>This unified mechanism replaces the four options in the v2 proposal and applies equally to all three tranches.</w:t>
            </w:r>
          </w:p>
        </w:tc>
      </w:tr>
      <w:tr>
        <w:tc>
          <w:tcPr>
            <w:tcW w:type="dxa" w:w="2835"/>
            <w:shd w:val="clear" w:color="auto" w:fill="FFFFFF"/>
          </w:tcPr>
          <w:p>
            <w:r/>
            <w:r>
              <w:rPr>
                <w:b/>
                <w:i w:val="0"/>
                <w:color w:val="1A1A1A"/>
                <w:sz w:val="20"/>
              </w:rPr>
              <w:t>Step 1 — Extension</w:t>
            </w:r>
          </w:p>
        </w:tc>
        <w:tc>
          <w:tcPr>
            <w:tcW w:type="dxa" w:w="6520"/>
            <w:shd w:val="clear" w:color="auto" w:fill="FFFFFF"/>
          </w:tcPr>
          <w:p>
            <w:pPr>
              <w:spacing w:before="20" w:after="40"/>
            </w:pPr>
            <w:r/>
            <w:r>
              <w:rPr>
                <w:color w:val="1A1A1A"/>
                <w:sz w:val="20"/>
              </w:rPr>
              <w:t>If AUM reaches at least 80% of the target by the deadline, Simon automatically receives a single 6-month extension for that tranche.</w:t>
            </w:r>
          </w:p>
        </w:tc>
      </w:tr>
      <w:tr>
        <w:tc>
          <w:tcPr>
            <w:tcW w:type="dxa" w:w="2835"/>
            <w:shd w:val="clear" w:color="auto" w:fill="F5F5F5"/>
          </w:tcPr>
          <w:p>
            <w:r/>
            <w:r>
              <w:rPr>
                <w:b/>
                <w:i w:val="0"/>
                <w:color w:val="1A1A1A"/>
                <w:sz w:val="20"/>
              </w:rPr>
              <w:t>Step 2 — Pro-rata vesting</w:t>
            </w:r>
          </w:p>
        </w:tc>
        <w:tc>
          <w:tcPr>
            <w:tcW w:type="dxa" w:w="6520"/>
            <w:shd w:val="clear" w:color="auto" w:fill="F5F5F5"/>
          </w:tcPr>
          <w:p>
            <w:pPr>
              <w:spacing w:before="20" w:after="40"/>
            </w:pPr>
            <w:r/>
            <w:r>
              <w:rPr>
                <w:color w:val="1A1A1A"/>
                <w:sz w:val="20"/>
              </w:rPr>
              <w:t>If, at the end of the extension, AUM is still below target but at least 80% of it, Simon vests a pro-rata portion of that tranche = (AUM achieved ÷ target) × 10%. Example: R45m of R50m (90%) → Simon vests 9% instead of 10%; the residual 1% remains with Davin.</w:t>
            </w:r>
          </w:p>
        </w:tc>
      </w:tr>
      <w:tr>
        <w:tc>
          <w:tcPr>
            <w:tcW w:type="dxa" w:w="2835"/>
            <w:shd w:val="clear" w:color="auto" w:fill="FFFFFF"/>
          </w:tcPr>
          <w:p>
            <w:r/>
            <w:r>
              <w:rPr>
                <w:b/>
                <w:i w:val="0"/>
                <w:color w:val="1A1A1A"/>
                <w:sz w:val="20"/>
              </w:rPr>
              <w:t>Step 3 — Lapse</w:t>
            </w:r>
          </w:p>
        </w:tc>
        <w:tc>
          <w:tcPr>
            <w:tcW w:type="dxa" w:w="6520"/>
            <w:shd w:val="clear" w:color="auto" w:fill="FFFFFF"/>
          </w:tcPr>
          <w:p>
            <w:pPr>
              <w:spacing w:before="20" w:after="40"/>
            </w:pPr>
            <w:r/>
            <w:r>
              <w:rPr>
                <w:color w:val="1A1A1A"/>
                <w:sz w:val="20"/>
              </w:rPr>
              <w:t>If AUM is below 80% of target at the end of the extension, the tranche lapses in full and the shares remain with Davin. Simon retains all previously-earned tranches and his founding 10%.</w:t>
            </w:r>
          </w:p>
        </w:tc>
      </w:tr>
    </w:tbl>
    <w:p>
      <w:pPr>
        <w:spacing w:after="80"/>
      </w:pPr>
    </w:p>
    <w:p>
      <w:r>
        <w:br w:type="page"/>
      </w:r>
    </w:p>
    <w:p>
      <w:pPr>
        <w:keepNext/>
        <w:spacing w:before="280" w:after="80"/>
      </w:pPr>
      <w:r>
        <w:rPr>
          <w:rFonts w:ascii="Calibri" w:hAnsi="Calibri"/>
          <w:b/>
          <w:color w:val="C9A227"/>
          <w:sz w:val="28"/>
        </w:rPr>
        <w:t>PART C — NEW VENTURES &amp; INNOVATION REVENUE</w:t>
      </w:r>
    </w:p>
    <w:p>
      <w:pPr>
        <w:spacing w:before="40" w:after="120"/>
      </w:pPr>
      <w:r>
        <w:rPr>
          <w:b w:val="0"/>
          <w:i w:val="0"/>
          <w:color w:val="1A1A1A"/>
          <w:sz w:val="20"/>
        </w:rPr>
        <w:t>This Part addresses Simon's request for a revenue share on new products or ideas that generate new revenue. It balances three things: (i) your strong preference that genuinely new products are built in a separate company on freshly-negotiated terms; (ii) fairness to Simon where he personally originates a new, non-AUM revenue stream; and (iii) protection against Simon receiving extra revenue share on top of his equity for revenue generated by clients that you or others introduce.</w:t>
      </w:r>
    </w:p>
    <w:p>
      <w:pPr>
        <w:keepNext/>
        <w:spacing w:before="160" w:after="80"/>
      </w:pPr>
      <w:r>
        <w:rPr>
          <w:rFonts w:ascii="Calibri" w:hAnsi="Calibri"/>
          <w:b/>
          <w:color w:val="1A1A1A"/>
          <w:sz w:val="22"/>
        </w:rPr>
        <w:t>The core problem, stated plainly</w:t>
      </w:r>
    </w:p>
    <w:p>
      <w:pPr>
        <w:spacing w:before="40" w:after="120"/>
      </w:pPr>
      <w:r>
        <w:rPr>
          <w:b w:val="0"/>
          <w:i w:val="0"/>
          <w:color w:val="1A1A1A"/>
          <w:sz w:val="20"/>
        </w:rPr>
        <w:t>Simon will already be a shareholder. As a shareholder he automatically shares — through dividends and equity value — in ALL of the Company's revenue, including AUM revenue from clients introduced by you or anyone else. If he ALSO received a revenue share on top of that, he would be paid twice for the same revenue, and would benefit from others' efforts. The solution is to separate 'ownership reward' (his equity) from 'origination reward' (a ring-fenced share of only the specific new stream he personally creates and runs).</w:t>
      </w:r>
    </w:p>
    <w:p>
      <w:pPr>
        <w:keepNext/>
        <w:spacing w:before="280" w:after="80"/>
      </w:pPr>
      <w:r>
        <w:rPr>
          <w:rFonts w:ascii="Calibri" w:hAnsi="Calibri"/>
          <w:b/>
          <w:color w:val="C9A227"/>
          <w:sz w:val="28"/>
        </w:rPr>
        <w:t>C1.  DEFAULT RULE — NEW VENTURES GO INTO A NEWCO</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Default rule</w:t>
            </w:r>
          </w:p>
        </w:tc>
        <w:tc>
          <w:tcPr>
            <w:tcW w:type="dxa" w:w="6520"/>
            <w:shd w:val="clear" w:color="auto" w:fill="F5F5F5"/>
          </w:tcPr>
          <w:p>
            <w:pPr>
              <w:spacing w:before="20" w:after="40"/>
            </w:pPr>
            <w:r/>
            <w:r>
              <w:rPr>
                <w:color w:val="1A1A1A"/>
                <w:sz w:val="20"/>
              </w:rPr>
              <w:t>Any materially new product, business line, or revenue stream that is separable from the core BitWealth AUM business is developed in a NEW company ('NewCo'), with a fresh shareholding structure negotiated specifically for that venture.</w:t>
            </w:r>
          </w:p>
        </w:tc>
      </w:tr>
      <w:tr>
        <w:tc>
          <w:tcPr>
            <w:tcW w:type="dxa" w:w="2835"/>
            <w:shd w:val="clear" w:color="auto" w:fill="FFFFFF"/>
          </w:tcPr>
          <w:p>
            <w:r/>
            <w:r>
              <w:rPr>
                <w:b/>
                <w:i w:val="0"/>
                <w:color w:val="1A1A1A"/>
                <w:sz w:val="20"/>
              </w:rPr>
              <w:t>No automatic entitlement</w:t>
            </w:r>
          </w:p>
        </w:tc>
        <w:tc>
          <w:tcPr>
            <w:tcW w:type="dxa" w:w="6520"/>
            <w:shd w:val="clear" w:color="auto" w:fill="FFFFFF"/>
          </w:tcPr>
          <w:p>
            <w:pPr>
              <w:spacing w:before="20" w:after="40"/>
            </w:pPr>
            <w:r/>
            <w:r>
              <w:rPr>
                <w:color w:val="1A1A1A"/>
                <w:sz w:val="20"/>
              </w:rPr>
              <w:t>Simon has NO automatic right to equity or revenue in any NewCo by virtue of his BitWealth shareholding. Each NewCo is negotiated on its own merits, based on who originates, funds, builds, and runs it.</w:t>
            </w:r>
          </w:p>
        </w:tc>
      </w:tr>
      <w:tr>
        <w:tc>
          <w:tcPr>
            <w:tcW w:type="dxa" w:w="2835"/>
            <w:shd w:val="clear" w:color="auto" w:fill="F5F5F5"/>
          </w:tcPr>
          <w:p>
            <w:r/>
            <w:r>
              <w:rPr>
                <w:b/>
                <w:i w:val="0"/>
                <w:color w:val="1A1A1A"/>
                <w:sz w:val="20"/>
              </w:rPr>
              <w:t>Right to negotiate</w:t>
            </w:r>
          </w:p>
        </w:tc>
        <w:tc>
          <w:tcPr>
            <w:tcW w:type="dxa" w:w="6520"/>
            <w:shd w:val="clear" w:color="auto" w:fill="F5F5F5"/>
          </w:tcPr>
          <w:p>
            <w:pPr>
              <w:spacing w:before="20" w:after="40"/>
            </w:pPr>
            <w:r/>
            <w:r>
              <w:rPr>
                <w:color w:val="1A1A1A"/>
                <w:sz w:val="20"/>
              </w:rPr>
              <w:t>Where Simon materially originates a NewCo concept, he is given a good-faith right of first opportunity to negotiate participation in that NewCo — but on fresh terms, not on his BitWealth terms.</w:t>
            </w:r>
          </w:p>
        </w:tc>
      </w:tr>
      <w:tr>
        <w:tc>
          <w:tcPr>
            <w:tcW w:type="dxa" w:w="2835"/>
            <w:shd w:val="clear" w:color="auto" w:fill="FFFFFF"/>
          </w:tcPr>
          <w:p>
            <w:r/>
            <w:r>
              <w:rPr>
                <w:b/>
                <w:i w:val="0"/>
                <w:color w:val="1A1A1A"/>
                <w:sz w:val="20"/>
              </w:rPr>
              <w:t>Who decides</w:t>
            </w:r>
          </w:p>
        </w:tc>
        <w:tc>
          <w:tcPr>
            <w:tcW w:type="dxa" w:w="6520"/>
            <w:shd w:val="clear" w:color="auto" w:fill="FFFFFF"/>
          </w:tcPr>
          <w:p>
            <w:pPr>
              <w:spacing w:before="20" w:after="40"/>
            </w:pPr>
            <w:r/>
            <w:r>
              <w:rPr>
                <w:color w:val="1A1A1A"/>
                <w:sz w:val="20"/>
              </w:rPr>
              <w:t>The Board (with Davin's control vote) decides whether a new idea is pursued inside BitWealth or via a NewCo. This keeps strategic control with you.</w:t>
            </w:r>
          </w:p>
        </w:tc>
      </w:tr>
    </w:tbl>
    <w:p>
      <w:pPr>
        <w:spacing w:after="80"/>
      </w:pPr>
    </w:p>
    <w:p>
      <w:pPr>
        <w:keepNext/>
        <w:spacing w:before="280" w:after="80"/>
      </w:pPr>
      <w:r>
        <w:rPr>
          <w:rFonts w:ascii="Calibri" w:hAnsi="Calibri"/>
          <w:b/>
          <w:color w:val="C9A227"/>
          <w:sz w:val="28"/>
        </w:rPr>
        <w:t>C2.  EXCEPTION — SIMON-ORIGINATED NON-AUM REVENUE KEPT INSIDE BITWEALTH</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When this applies</w:t>
            </w:r>
          </w:p>
        </w:tc>
        <w:tc>
          <w:tcPr>
            <w:tcW w:type="dxa" w:w="6520"/>
            <w:shd w:val="clear" w:color="auto" w:fill="F5F5F5"/>
          </w:tcPr>
          <w:p>
            <w:pPr>
              <w:spacing w:before="20" w:after="40"/>
            </w:pPr>
            <w:r/>
            <w:r>
              <w:rPr>
                <w:color w:val="1A1A1A"/>
                <w:sz w:val="20"/>
              </w:rPr>
              <w:t>Only where ALL of the following are true:</w:t>
            </w:r>
          </w:p>
          <w:p>
            <w:pPr>
              <w:spacing w:before="20" w:after="40"/>
            </w:pPr>
            <w:r>
              <w:rPr>
                <w:b/>
                <w:color w:val="1A1A1A"/>
                <w:sz w:val="20"/>
              </w:rPr>
              <w:t>(a) Simon personally originates a genuinely new, NON-AUM revenue stream (i.e., not performance fees, platform fees, or exchange-fee share on managed assets);</w:t>
            </w:r>
          </w:p>
          <w:p>
            <w:pPr>
              <w:spacing w:before="20" w:after="40"/>
            </w:pPr>
            <w:r>
              <w:rPr>
                <w:b/>
                <w:color w:val="1A1A1A"/>
                <w:sz w:val="20"/>
              </w:rPr>
              <w:t>(b) the Board decides to keep it inside BitWealth rather than a NewCo; and</w:t>
            </w:r>
          </w:p>
          <w:p>
            <w:pPr>
              <w:spacing w:before="20" w:after="40"/>
            </w:pPr>
            <w:r>
              <w:rPr>
                <w:b/>
                <w:color w:val="1A1A1A"/>
                <w:sz w:val="20"/>
              </w:rPr>
              <w:t>(c) Simon actively leads the delivery of that stream.</w:t>
            </w:r>
          </w:p>
        </w:tc>
      </w:tr>
      <w:tr>
        <w:tc>
          <w:tcPr>
            <w:tcW w:type="dxa" w:w="2835"/>
            <w:shd w:val="clear" w:color="auto" w:fill="FFFFFF"/>
          </w:tcPr>
          <w:p>
            <w:r/>
            <w:r>
              <w:rPr>
                <w:b/>
                <w:i w:val="0"/>
                <w:color w:val="1A1A1A"/>
                <w:sz w:val="20"/>
              </w:rPr>
              <w:t>Innovation Revenue Share</w:t>
            </w:r>
          </w:p>
        </w:tc>
        <w:tc>
          <w:tcPr>
            <w:tcW w:type="dxa" w:w="6520"/>
            <w:shd w:val="clear" w:color="auto" w:fill="FFFFFF"/>
          </w:tcPr>
          <w:p>
            <w:pPr>
              <w:spacing w:before="20" w:after="40"/>
            </w:pPr>
            <w:r/>
            <w:r>
              <w:rPr>
                <w:color w:val="1A1A1A"/>
                <w:sz w:val="20"/>
              </w:rPr>
              <w:t>Simon receives a ring-fenced share of the NET revenue of THAT specific stream only:</w:t>
            </w:r>
          </w:p>
          <w:p>
            <w:pPr>
              <w:spacing w:before="20" w:after="40"/>
            </w:pPr>
            <w:r>
              <w:rPr>
                <w:b/>
                <w:color w:val="1A1A1A"/>
                <w:sz w:val="20"/>
              </w:rPr>
              <w:t>(a) suggested 15% of net revenue of the stream (negotiable per stream);</w:t>
            </w:r>
          </w:p>
          <w:p>
            <w:pPr>
              <w:spacing w:before="20" w:after="40"/>
            </w:pPr>
            <w:r>
              <w:rPr>
                <w:b/>
                <w:color w:val="1A1A1A"/>
                <w:sz w:val="20"/>
              </w:rPr>
              <w:t>(b) for a fixed period of 48 months from first revenue;</w:t>
            </w:r>
          </w:p>
          <w:p>
            <w:pPr>
              <w:spacing w:before="20" w:after="40"/>
            </w:pPr>
            <w:r>
              <w:rPr>
                <w:b/>
                <w:color w:val="1A1A1A"/>
                <w:sz w:val="20"/>
              </w:rPr>
              <w:t>(c) payable only while Simon actively leads the stream;</w:t>
            </w:r>
          </w:p>
          <w:p>
            <w:pPr>
              <w:spacing w:before="20" w:after="40"/>
            </w:pPr>
            <w:r>
              <w:rPr>
                <w:b/>
                <w:color w:val="1A1A1A"/>
                <w:sz w:val="20"/>
              </w:rPr>
              <w:t>(d) the stream is separately accounted so the ring-fence is auditable.</w:t>
            </w:r>
          </w:p>
        </w:tc>
      </w:tr>
      <w:tr>
        <w:tc>
          <w:tcPr>
            <w:tcW w:type="dxa" w:w="2835"/>
            <w:shd w:val="clear" w:color="auto" w:fill="F5F5F5"/>
          </w:tcPr>
          <w:p>
            <w:r/>
            <w:r>
              <w:rPr>
                <w:b/>
                <w:i w:val="0"/>
                <w:color w:val="1A1A1A"/>
                <w:sz w:val="20"/>
              </w:rPr>
              <w:t>Ring-fence — the key protection</w:t>
            </w:r>
          </w:p>
        </w:tc>
        <w:tc>
          <w:tcPr>
            <w:tcW w:type="dxa" w:w="6520"/>
            <w:shd w:val="clear" w:color="auto" w:fill="F5F5F5"/>
          </w:tcPr>
          <w:p>
            <w:pPr>
              <w:spacing w:before="20" w:after="40"/>
            </w:pPr>
            <w:r/>
            <w:r>
              <w:rPr>
                <w:color w:val="1A1A1A"/>
                <w:sz w:val="20"/>
              </w:rPr>
              <w:t>The Innovation Revenue Share attaches ONLY to the new non-AUM stream Simon creates. It NEVER touches AUM-based revenue (performance, platform, or exchange fees) from any client — including clients you or others introduce. This directly answers your concern.</w:t>
            </w:r>
          </w:p>
        </w:tc>
      </w:tr>
      <w:tr>
        <w:tc>
          <w:tcPr>
            <w:tcW w:type="dxa" w:w="2835"/>
            <w:shd w:val="clear" w:color="auto" w:fill="FFFFFF"/>
          </w:tcPr>
          <w:p>
            <w:r/>
            <w:r>
              <w:rPr>
                <w:b/>
                <w:i w:val="0"/>
                <w:color w:val="1A1A1A"/>
                <w:sz w:val="20"/>
              </w:rPr>
              <w:t>No double-count</w:t>
            </w:r>
          </w:p>
        </w:tc>
        <w:tc>
          <w:tcPr>
            <w:tcW w:type="dxa" w:w="6520"/>
            <w:shd w:val="clear" w:color="auto" w:fill="FFFFFF"/>
          </w:tcPr>
          <w:p>
            <w:pPr>
              <w:spacing w:before="20" w:after="40"/>
            </w:pPr>
            <w:r/>
            <w:r>
              <w:rPr>
                <w:color w:val="1A1A1A"/>
                <w:sz w:val="20"/>
              </w:rPr>
              <w:t>The Innovation Revenue Share is a defined cost of the stream, taken before profit. Simon then also shares, via his equity %, in whatever residual profit that stream contributes to the Company — which is normal for any shareholder-employee and is acceptable because the stream only exists due to his origination and active leadership.</w:t>
            </w:r>
          </w:p>
        </w:tc>
      </w:tr>
      <w:tr>
        <w:tc>
          <w:tcPr>
            <w:tcW w:type="dxa" w:w="2835"/>
            <w:shd w:val="clear" w:color="auto" w:fill="F5F5F5"/>
          </w:tcPr>
          <w:p>
            <w:r/>
            <w:r>
              <w:rPr>
                <w:b/>
                <w:i w:val="0"/>
                <w:color w:val="1A1A1A"/>
                <w:sz w:val="20"/>
              </w:rPr>
              <w:t>IP ownership</w:t>
            </w:r>
          </w:p>
        </w:tc>
        <w:tc>
          <w:tcPr>
            <w:tcW w:type="dxa" w:w="6520"/>
            <w:shd w:val="clear" w:color="auto" w:fill="F5F5F5"/>
          </w:tcPr>
          <w:p>
            <w:pPr>
              <w:spacing w:before="20" w:after="40"/>
            </w:pPr>
            <w:r/>
            <w:r>
              <w:rPr>
                <w:color w:val="1A1A1A"/>
                <w:sz w:val="20"/>
              </w:rPr>
              <w:t>All intellectual property in the new stream vests in the Company (or NewCo), not in Simon personally, regardless of the revenue share.</w:t>
            </w:r>
          </w:p>
        </w:tc>
      </w:tr>
      <w:tr>
        <w:tc>
          <w:tcPr>
            <w:tcW w:type="dxa" w:w="2835"/>
            <w:shd w:val="clear" w:color="auto" w:fill="FFFFFF"/>
          </w:tcPr>
          <w:p>
            <w:r/>
            <w:r>
              <w:rPr>
                <w:b/>
                <w:i w:val="0"/>
                <w:color w:val="1A1A1A"/>
                <w:sz w:val="20"/>
              </w:rPr>
              <w:t>Exclusions</w:t>
            </w:r>
          </w:p>
        </w:tc>
        <w:tc>
          <w:tcPr>
            <w:tcW w:type="dxa" w:w="6520"/>
            <w:shd w:val="clear" w:color="auto" w:fill="FFFFFF"/>
          </w:tcPr>
          <w:p>
            <w:pPr>
              <w:spacing w:before="20" w:after="40"/>
            </w:pPr>
            <w:r/>
            <w:r>
              <w:rPr>
                <w:color w:val="1A1A1A"/>
                <w:sz w:val="20"/>
              </w:rPr>
              <w:t>This does NOT apply to enhancements or extensions of the core AUM business (e.g., new client tiers, pricing changes, or new asset pairs) — those are core Company revenue in which Simon already shares as a shareholder.</w:t>
            </w:r>
          </w:p>
        </w:tc>
      </w:tr>
    </w:tbl>
    <w:p>
      <w:pPr>
        <w:spacing w:after="80"/>
      </w:pPr>
    </w:p>
    <w:p>
      <w:pPr>
        <w:keepNext/>
        <w:spacing w:before="280" w:after="80"/>
      </w:pPr>
      <w:r>
        <w:rPr>
          <w:rFonts w:ascii="Calibri" w:hAnsi="Calibri"/>
          <w:b/>
          <w:color w:val="C9A227"/>
          <w:sz w:val="28"/>
        </w:rPr>
        <w:t>C3.  RECIPROCITY &amp; ANTI-CIRCUMVENTION</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Reciprocal</w:t>
            </w:r>
          </w:p>
        </w:tc>
        <w:tc>
          <w:tcPr>
            <w:tcW w:type="dxa" w:w="6520"/>
            <w:shd w:val="clear" w:color="auto" w:fill="F5F5F5"/>
          </w:tcPr>
          <w:p>
            <w:pPr>
              <w:spacing w:before="20" w:after="40"/>
            </w:pPr>
            <w:r/>
            <w:r>
              <w:rPr>
                <w:color w:val="1A1A1A"/>
                <w:sz w:val="20"/>
              </w:rPr>
              <w:t>The same framework applies to Davin- or third-party-originated ventures: Simon has no revenue-share claim over a non-AUM stream he did not originate and does not lead.</w:t>
            </w:r>
          </w:p>
        </w:tc>
      </w:tr>
      <w:tr>
        <w:tc>
          <w:tcPr>
            <w:tcW w:type="dxa" w:w="2835"/>
            <w:shd w:val="clear" w:color="auto" w:fill="FFFFFF"/>
          </w:tcPr>
          <w:p>
            <w:r/>
            <w:r>
              <w:rPr>
                <w:b/>
                <w:i w:val="0"/>
                <w:color w:val="1A1A1A"/>
                <w:sz w:val="20"/>
              </w:rPr>
              <w:t>Anti-circumvention</w:t>
            </w:r>
          </w:p>
        </w:tc>
        <w:tc>
          <w:tcPr>
            <w:tcW w:type="dxa" w:w="6520"/>
            <w:shd w:val="clear" w:color="auto" w:fill="FFFFFF"/>
          </w:tcPr>
          <w:p>
            <w:pPr>
              <w:spacing w:before="20" w:after="40"/>
            </w:pPr>
            <w:r/>
            <w:r>
              <w:rPr>
                <w:color w:val="1A1A1A"/>
                <w:sz w:val="20"/>
              </w:rPr>
              <w:t>Neither party may route what is really core BitWealth AUM revenue through a 'new stream' label to avoid the other's legitimate share. Characterisation disputes go to independent expert determination.</w:t>
            </w:r>
          </w:p>
        </w:tc>
      </w:tr>
    </w:tbl>
    <w:p>
      <w:pPr>
        <w:spacing w:after="80"/>
      </w:pPr>
    </w:p>
    <w:p>
      <w:pPr>
        <w:spacing w:before="120"/>
      </w:pPr>
      <w:r>
        <w:rPr>
          <w:b/>
          <w:color w:val="1B5E20"/>
          <w:sz w:val="20"/>
        </w:rPr>
        <w:t xml:space="preserve">Recommended stance:  </w:t>
      </w:r>
      <w:r>
        <w:rPr>
          <w:color w:val="1A1A1A"/>
          <w:sz w:val="20"/>
        </w:rPr>
        <w:t>Offer Simon the NewCo default (C1) as the primary answer, and the ring-fenced Innovation Revenue Share (C2) as the narrow, fair exception for genuine non-AUM ideas he both originates and runs. Resist any general revenue share across the whole business — his equity already gives him that.</w:t>
      </w:r>
    </w:p>
    <w:p>
      <w:r>
        <w:br w:type="page"/>
      </w:r>
    </w:p>
    <w:p>
      <w:pPr>
        <w:keepNext/>
        <w:spacing w:before="280" w:after="80"/>
      </w:pPr>
      <w:r>
        <w:rPr>
          <w:rFonts w:ascii="Calibri" w:hAnsi="Calibri"/>
          <w:b/>
          <w:color w:val="C9A227"/>
          <w:sz w:val="28"/>
        </w:rPr>
        <w:t>PART B (CONTINUED) — PROTECTIVE PROVISIONS</w:t>
      </w:r>
    </w:p>
    <w:p>
      <w:pPr>
        <w:keepNext/>
        <w:spacing w:before="280" w:after="80"/>
      </w:pPr>
      <w:r>
        <w:rPr>
          <w:rFonts w:ascii="Calibri" w:hAnsi="Calibri"/>
          <w:b/>
          <w:color w:val="C9A227"/>
          <w:sz w:val="28"/>
        </w:rPr>
        <w:t>8.  FSP, FEE TRANSPARENCY &amp; RESERVED MATTERS  (ADDRESSES COMMENT 9)</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Fee transparency</w:t>
            </w:r>
          </w:p>
        </w:tc>
        <w:tc>
          <w:tcPr>
            <w:tcW w:type="dxa" w:w="6520"/>
            <w:shd w:val="clear" w:color="auto" w:fill="F5F5F5"/>
          </w:tcPr>
          <w:p>
            <w:pPr>
              <w:spacing w:before="20" w:after="40"/>
            </w:pPr>
            <w:r/>
            <w:r>
              <w:rPr>
                <w:color w:val="1A1A1A"/>
                <w:sz w:val="20"/>
              </w:rPr>
              <w:t>ACCEPTED. The Company will share a full fee/profitability model showing net economics after the Finova revenue share (20% of performance fees + 50% of platform fees).</w:t>
            </w:r>
          </w:p>
        </w:tc>
      </w:tr>
      <w:tr>
        <w:tc>
          <w:tcPr>
            <w:tcW w:type="dxa" w:w="2835"/>
            <w:shd w:val="clear" w:color="auto" w:fill="FFFFFF"/>
          </w:tcPr>
          <w:p>
            <w:r/>
            <w:r>
              <w:rPr>
                <w:b/>
                <w:i w:val="0"/>
                <w:color w:val="1A1A1A"/>
                <w:sz w:val="20"/>
              </w:rPr>
              <w:t>Reserved matters — countered</w:t>
            </w:r>
          </w:p>
        </w:tc>
        <w:tc>
          <w:tcPr>
            <w:tcW w:type="dxa" w:w="6520"/>
            <w:shd w:val="clear" w:color="auto" w:fill="FFFFFF"/>
          </w:tcPr>
          <w:p>
            <w:pPr>
              <w:spacing w:before="20" w:after="40"/>
            </w:pPr>
            <w:r/>
            <w:r>
              <w:rPr>
                <w:color w:val="1A1A1A"/>
                <w:sz w:val="20"/>
              </w:rPr>
              <w:t>A 10% holder will NOT have a veto over operational/strategic decisions (FSP, exchange, custody, execution). Instead:</w:t>
            </w:r>
          </w:p>
          <w:p>
            <w:pPr>
              <w:spacing w:before="20" w:after="40"/>
            </w:pPr>
            <w:r>
              <w:rPr>
                <w:b/>
                <w:color w:val="1A1A1A"/>
                <w:sz w:val="20"/>
              </w:rPr>
              <w:t>(a) consultation rights on material changes;</w:t>
            </w:r>
          </w:p>
          <w:p>
            <w:pPr>
              <w:spacing w:before="20" w:after="40"/>
            </w:pPr>
            <w:r>
              <w:rPr>
                <w:b/>
                <w:color w:val="1A1A1A"/>
                <w:sz w:val="20"/>
              </w:rPr>
              <w:t>(b) an anti-prejudice covenant — no change may be made for the purpose of, or with the effect of, reducing Simon's economic entitlement below its then-current basis without his consent;</w:t>
            </w:r>
          </w:p>
          <w:p>
            <w:pPr>
              <w:spacing w:before="20" w:after="40"/>
            </w:pPr>
            <w:r>
              <w:rPr>
                <w:b/>
                <w:color w:val="1A1A1A"/>
                <w:sz w:val="20"/>
              </w:rPr>
              <w:t>(c) genuine reserved-matter consent rights that apply only once Simon holds 25% or more.</w:t>
            </w:r>
          </w:p>
        </w:tc>
      </w:tr>
    </w:tbl>
    <w:p>
      <w:pPr>
        <w:spacing w:after="80"/>
      </w:pPr>
    </w:p>
    <w:p>
      <w:pPr>
        <w:keepNext/>
        <w:spacing w:before="280" w:after="80"/>
      </w:pPr>
      <w:r>
        <w:rPr>
          <w:rFonts w:ascii="Calibri" w:hAnsi="Calibri"/>
          <w:b/>
          <w:color w:val="C9A227"/>
          <w:sz w:val="28"/>
        </w:rPr>
        <w:t>9.  GOOD LEAVER &amp; BAD LEAVER  (ADDRESSES COMMENTS 10, 11 &amp; 14)</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Good Leaver — expanded</w:t>
            </w:r>
          </w:p>
        </w:tc>
        <w:tc>
          <w:tcPr>
            <w:tcW w:type="dxa" w:w="6520"/>
            <w:shd w:val="clear" w:color="auto" w:fill="F5F5F5"/>
          </w:tcPr>
          <w:p>
            <w:pPr>
              <w:spacing w:before="20" w:after="40"/>
            </w:pPr>
            <w:r/>
            <w:r>
              <w:rPr>
                <w:color w:val="1A1A1A"/>
                <w:sz w:val="20"/>
              </w:rPr>
              <w:t>Simon is a Good Leaver on: death/permanent disability; retirement; termination without cause; constructive dismissal; material reduction of his role; the Company/Davin failing to support onboarding; loss of FSP/JR status not caused by Simon; or material breach by Davin/the Company. Consequence: retains all earned shares; unearned tranches follow Clause 7.</w:t>
            </w:r>
          </w:p>
        </w:tc>
      </w:tr>
      <w:tr>
        <w:tc>
          <w:tcPr>
            <w:tcW w:type="dxa" w:w="2835"/>
            <w:shd w:val="clear" w:color="auto" w:fill="FFFFFF"/>
          </w:tcPr>
          <w:p>
            <w:r/>
            <w:r>
              <w:rPr>
                <w:b/>
                <w:i w:val="0"/>
                <w:color w:val="1A1A1A"/>
                <w:sz w:val="20"/>
              </w:rPr>
              <w:t>Bad Leaver — narrowed</w:t>
            </w:r>
          </w:p>
        </w:tc>
        <w:tc>
          <w:tcPr>
            <w:tcW w:type="dxa" w:w="6520"/>
            <w:shd w:val="clear" w:color="auto" w:fill="FFFFFF"/>
          </w:tcPr>
          <w:p>
            <w:pPr>
              <w:spacing w:before="20" w:after="40"/>
            </w:pPr>
            <w:r/>
            <w:r>
              <w:rPr>
                <w:color w:val="1A1A1A"/>
                <w:sz w:val="20"/>
              </w:rPr>
              <w:t>Limited to proven fraud, theft, dishonesty, wilful misconduct, gross negligence, or a final (non-appealable) regulatory finding against Simon.</w:t>
            </w:r>
          </w:p>
        </w:tc>
      </w:tr>
      <w:tr>
        <w:tc>
          <w:tcPr>
            <w:tcW w:type="dxa" w:w="2835"/>
            <w:shd w:val="clear" w:color="auto" w:fill="F5F5F5"/>
          </w:tcPr>
          <w:p>
            <w:r/>
            <w:r>
              <w:rPr>
                <w:b/>
                <w:i w:val="0"/>
                <w:color w:val="1A1A1A"/>
                <w:sz w:val="20"/>
              </w:rPr>
              <w:t>Bad Leaver consequence</w:t>
            </w:r>
          </w:p>
        </w:tc>
        <w:tc>
          <w:tcPr>
            <w:tcW w:type="dxa" w:w="6520"/>
            <w:shd w:val="clear" w:color="auto" w:fill="F5F5F5"/>
          </w:tcPr>
          <w:p>
            <w:pPr>
              <w:spacing w:before="20" w:after="40"/>
            </w:pPr>
            <w:r/>
            <w:r>
              <w:rPr>
                <w:color w:val="1A1A1A"/>
                <w:sz w:val="20"/>
              </w:rPr>
              <w:t>Unearned tranches lapse. EARNED shares are bought at fair market value, EXCEPT where the trigger is fraud/theft/dishonesty (then at par, R1/share). Any forced transfer requires prior independent determination by an auditor/expert or arbitrator.</w:t>
            </w:r>
          </w:p>
        </w:tc>
      </w:tr>
      <w:tr>
        <w:tc>
          <w:tcPr>
            <w:tcW w:type="dxa" w:w="2835"/>
            <w:shd w:val="clear" w:color="auto" w:fill="FFFFFF"/>
          </w:tcPr>
          <w:p>
            <w:r/>
            <w:r>
              <w:rPr>
                <w:b/>
                <w:i w:val="0"/>
                <w:color w:val="1A1A1A"/>
                <w:sz w:val="20"/>
              </w:rPr>
              <w:t>Clawback — narrowed + reciprocal</w:t>
            </w:r>
          </w:p>
        </w:tc>
        <w:tc>
          <w:tcPr>
            <w:tcW w:type="dxa" w:w="6520"/>
            <w:shd w:val="clear" w:color="auto" w:fill="FFFFFF"/>
          </w:tcPr>
          <w:p>
            <w:pPr>
              <w:spacing w:before="20" w:after="40"/>
            </w:pPr>
            <w:r/>
            <w:r>
              <w:rPr>
                <w:color w:val="1A1A1A"/>
                <w:sz w:val="20"/>
              </w:rPr>
              <w:t>Clawback applies only to losses caused by Simon's wilful misconduct, fraud, gross negligence, or proven regulatory breach. Reciprocally, if Davin's/the Company's acts or omissions cause loss of JR/FSP status or damage client relationships, Simon is treated as a Good Leaver.</w:t>
            </w:r>
          </w:p>
        </w:tc>
      </w:tr>
    </w:tbl>
    <w:p>
      <w:pPr>
        <w:spacing w:after="80"/>
      </w:pPr>
    </w:p>
    <w:p>
      <w:pPr>
        <w:keepNext/>
        <w:spacing w:before="280" w:after="80"/>
      </w:pPr>
      <w:r>
        <w:rPr>
          <w:rFonts w:ascii="Calibri" w:hAnsi="Calibri"/>
          <w:b/>
          <w:color w:val="C9A227"/>
          <w:sz w:val="28"/>
        </w:rPr>
        <w:t>10.  CONFIDENTIALITY, NON-SOLICITATION, DRAG &amp; TAG  (ADDRESSES COMMENTS 12 &amp; 13)</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Non-compete removed</w:t>
            </w:r>
          </w:p>
        </w:tc>
        <w:tc>
          <w:tcPr>
            <w:tcW w:type="dxa" w:w="6520"/>
            <w:shd w:val="clear" w:color="auto" w:fill="F5F5F5"/>
          </w:tcPr>
          <w:p>
            <w:pPr>
              <w:spacing w:before="20" w:after="40"/>
            </w:pPr>
            <w:r/>
            <w:r>
              <w:rPr>
                <w:color w:val="1A1A1A"/>
                <w:sz w:val="20"/>
              </w:rPr>
              <w:t>The broad non-compete is removed. Replaced with (i) confidentiality and (ii) non-solicitation of clients Simon actually dealt with and of staff, for 12 months post-exit, within South Africa.</w:t>
            </w:r>
          </w:p>
        </w:tc>
      </w:tr>
      <w:tr>
        <w:tc>
          <w:tcPr>
            <w:tcW w:type="dxa" w:w="2835"/>
            <w:shd w:val="clear" w:color="auto" w:fill="FFFFFF"/>
          </w:tcPr>
          <w:p>
            <w:r/>
            <w:r>
              <w:rPr>
                <w:b/>
                <w:i w:val="0"/>
                <w:color w:val="1A1A1A"/>
                <w:sz w:val="20"/>
              </w:rPr>
              <w:t>Drag-along — with protections</w:t>
            </w:r>
          </w:p>
        </w:tc>
        <w:tc>
          <w:tcPr>
            <w:tcW w:type="dxa" w:w="6520"/>
            <w:shd w:val="clear" w:color="auto" w:fill="FFFFFF"/>
          </w:tcPr>
          <w:p>
            <w:pPr>
              <w:spacing w:before="20" w:after="40"/>
            </w:pPr>
            <w:r/>
            <w:r>
              <w:rPr>
                <w:color w:val="1A1A1A"/>
                <w:sz w:val="20"/>
              </w:rPr>
              <w:t>On a bona-fide sale of ≥ 75%, Simon must sell pro-rata on the SAME price and terms, with: cash-equivalent consideration; warranties limited to title and capacity; release from guarantees/liabilities; and no sale to a related party at an undervalue.</w:t>
            </w:r>
          </w:p>
        </w:tc>
      </w:tr>
      <w:tr>
        <w:tc>
          <w:tcPr>
            <w:tcW w:type="dxa" w:w="2835"/>
            <w:shd w:val="clear" w:color="auto" w:fill="F5F5F5"/>
          </w:tcPr>
          <w:p>
            <w:r/>
            <w:r>
              <w:rPr>
                <w:b/>
                <w:i w:val="0"/>
                <w:color w:val="1A1A1A"/>
                <w:sz w:val="20"/>
              </w:rPr>
              <w:t>Tag-along</w:t>
            </w:r>
          </w:p>
        </w:tc>
        <w:tc>
          <w:tcPr>
            <w:tcW w:type="dxa" w:w="6520"/>
            <w:shd w:val="clear" w:color="auto" w:fill="F5F5F5"/>
          </w:tcPr>
          <w:p>
            <w:pPr>
              <w:spacing w:before="20" w:after="40"/>
            </w:pPr>
            <w:r/>
            <w:r>
              <w:rPr>
                <w:color w:val="1A1A1A"/>
                <w:sz w:val="20"/>
              </w:rPr>
              <w:t>If Davin sells more than 50% of his shares, Simon may include his shares on equivalent terms and the same price per share.</w:t>
            </w:r>
          </w:p>
        </w:tc>
      </w:tr>
    </w:tbl>
    <w:p>
      <w:pPr>
        <w:spacing w:after="80"/>
      </w:pPr>
    </w:p>
    <w:p>
      <w:pPr>
        <w:keepNext/>
        <w:spacing w:before="280" w:after="80"/>
      </w:pPr>
      <w:r>
        <w:rPr>
          <w:rFonts w:ascii="Calibri" w:hAnsi="Calibri"/>
          <w:b/>
          <w:color w:val="C9A227"/>
          <w:sz w:val="28"/>
        </w:rPr>
        <w:t>11.  PRE-EMPTIVE RIGHTS &amp; ANTI-CIRCUMVENTION  (ADDRESSES COMMENT 15)</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Nature clarified</w:t>
            </w:r>
          </w:p>
        </w:tc>
        <w:tc>
          <w:tcPr>
            <w:tcW w:type="dxa" w:w="6520"/>
            <w:shd w:val="clear" w:color="auto" w:fill="F5F5F5"/>
          </w:tcPr>
          <w:p>
            <w:pPr>
              <w:spacing w:before="20" w:after="40"/>
            </w:pPr>
            <w:r/>
            <w:r>
              <w:rPr>
                <w:color w:val="1A1A1A"/>
                <w:sz w:val="20"/>
              </w:rPr>
              <w:t>Simon has PRO-RATA pre-emptive rights (a right of first offer on new share issues at the same price as the incoming subscriber) — not a full ratchet or weighted-average anti-dilution.</w:t>
            </w:r>
          </w:p>
        </w:tc>
      </w:tr>
      <w:tr>
        <w:tc>
          <w:tcPr>
            <w:tcW w:type="dxa" w:w="2835"/>
            <w:shd w:val="clear" w:color="auto" w:fill="FFFFFF"/>
          </w:tcPr>
          <w:p>
            <w:r/>
            <w:r>
              <w:rPr>
                <w:b/>
                <w:i w:val="0"/>
                <w:color w:val="1A1A1A"/>
                <w:sz w:val="20"/>
              </w:rPr>
              <w:t>Anti-circumvention</w:t>
            </w:r>
          </w:p>
        </w:tc>
        <w:tc>
          <w:tcPr>
            <w:tcW w:type="dxa" w:w="6520"/>
            <w:shd w:val="clear" w:color="auto" w:fill="FFFFFF"/>
          </w:tcPr>
          <w:p>
            <w:pPr>
              <w:spacing w:before="20" w:after="40"/>
            </w:pPr>
            <w:r/>
            <w:r>
              <w:rPr>
                <w:color w:val="1A1A1A"/>
                <w:sz w:val="20"/>
              </w:rPr>
              <w:t>No shares or options may be issued to Davin, associates, or staff below independently-determined fair value for the purpose of diluting Simon, without his consent.</w:t>
            </w:r>
          </w:p>
        </w:tc>
      </w:tr>
    </w:tbl>
    <w:p>
      <w:pPr>
        <w:spacing w:after="80"/>
      </w:pPr>
    </w:p>
    <w:p>
      <w:pPr>
        <w:keepNext/>
        <w:spacing w:before="280" w:after="80"/>
      </w:pPr>
      <w:r>
        <w:rPr>
          <w:rFonts w:ascii="Calibri" w:hAnsi="Calibri"/>
          <w:b/>
          <w:color w:val="C9A227"/>
          <w:sz w:val="28"/>
        </w:rPr>
        <w:t>12.  CONDITIONS PRECEDENT &amp; GENERAL</w:t>
      </w:r>
    </w:p>
    <w:tbl>
      <w:tblPr>
        <w:tblStyle w:val="TableGrid"/>
        <w:tblW w:type="auto" w:w="0"/>
        <w:jc w:val="left"/>
        <w:tblLook w:firstColumn="1" w:firstRow="1" w:lastColumn="0" w:lastRow="0" w:noHBand="0" w:noVBand="1" w:val="04A0"/>
      </w:tblPr>
      <w:tblGrid>
        <w:gridCol w:w="4816"/>
        <w:gridCol w:w="4816"/>
      </w:tblGrid>
      <w:tr>
        <w:tc>
          <w:tcPr>
            <w:tcW w:type="dxa" w:w="2835"/>
            <w:shd w:val="clear" w:color="auto" w:fill="F5F5F5"/>
          </w:tcPr>
          <w:p>
            <w:r/>
            <w:r>
              <w:rPr>
                <w:b/>
                <w:i w:val="0"/>
                <w:color w:val="1A1A1A"/>
                <w:sz w:val="20"/>
              </w:rPr>
              <w:t>Conditions precedent</w:t>
            </w:r>
          </w:p>
        </w:tc>
        <w:tc>
          <w:tcPr>
            <w:tcW w:type="dxa" w:w="6520"/>
            <w:shd w:val="clear" w:color="auto" w:fill="F5F5F5"/>
          </w:tcPr>
          <w:p>
            <w:pPr>
              <w:spacing w:before="20" w:after="40"/>
            </w:pPr>
            <w:r/>
            <w:r>
              <w:rPr>
                <w:b/>
                <w:color w:val="1A1A1A"/>
                <w:sz w:val="20"/>
              </w:rPr>
              <w:t>(a) Shareholders' Agreement and Equity Participation Agreement in agreed form;</w:t>
            </w:r>
          </w:p>
          <w:p>
            <w:pPr>
              <w:spacing w:before="20" w:after="40"/>
            </w:pPr>
            <w:r>
              <w:rPr>
                <w:b/>
                <w:color w:val="1A1A1A"/>
                <w:sz w:val="20"/>
              </w:rPr>
              <w:t>(b) independent legal advice obtained by Simon;</w:t>
            </w:r>
          </w:p>
          <w:p>
            <w:pPr>
              <w:spacing w:before="20" w:after="40"/>
            </w:pPr>
            <w:r>
              <w:rPr>
                <w:b/>
                <w:color w:val="1A1A1A"/>
                <w:sz w:val="20"/>
              </w:rPr>
              <w:t>(c) independent tax advice obtained by both parties (Comment 17);</w:t>
            </w:r>
          </w:p>
          <w:p>
            <w:pPr>
              <w:spacing w:before="20" w:after="40"/>
            </w:pPr>
            <w:r>
              <w:rPr>
                <w:b/>
                <w:color w:val="1A1A1A"/>
                <w:sz w:val="20"/>
              </w:rPr>
              <w:t>(d) Finova Capital JR appointment or letter of intent;</w:t>
            </w:r>
          </w:p>
          <w:p>
            <w:pPr>
              <w:spacing w:before="20" w:after="40"/>
            </w:pPr>
            <w:r>
              <w:rPr>
                <w:b/>
                <w:color w:val="1A1A1A"/>
                <w:sz w:val="20"/>
              </w:rPr>
              <w:t>(e) confirmation Simon meets minimum FAIS fit-and-proper requirements.</w:t>
            </w:r>
          </w:p>
        </w:tc>
      </w:tr>
      <w:tr>
        <w:tc>
          <w:tcPr>
            <w:tcW w:type="dxa" w:w="2835"/>
            <w:shd w:val="clear" w:color="auto" w:fill="FFFFFF"/>
          </w:tcPr>
          <w:p>
            <w:r/>
            <w:r>
              <w:rPr>
                <w:b/>
                <w:i w:val="0"/>
                <w:color w:val="1A1A1A"/>
                <w:sz w:val="20"/>
              </w:rPr>
              <w:t>Governing law</w:t>
            </w:r>
          </w:p>
        </w:tc>
        <w:tc>
          <w:tcPr>
            <w:tcW w:type="dxa" w:w="6520"/>
            <w:shd w:val="clear" w:color="auto" w:fill="FFFFFF"/>
          </w:tcPr>
          <w:p>
            <w:pPr>
              <w:spacing w:before="20" w:after="40"/>
            </w:pPr>
            <w:r/>
            <w:r>
              <w:rPr>
                <w:color w:val="1A1A1A"/>
                <w:sz w:val="20"/>
              </w:rPr>
              <w:t>Republic of South Africa; disputes to arbitration under AFSA rules.</w:t>
            </w:r>
          </w:p>
        </w:tc>
      </w:tr>
      <w:tr>
        <w:tc>
          <w:tcPr>
            <w:tcW w:type="dxa" w:w="2835"/>
            <w:shd w:val="clear" w:color="auto" w:fill="F5F5F5"/>
          </w:tcPr>
          <w:p>
            <w:r/>
            <w:r>
              <w:rPr>
                <w:b/>
                <w:i w:val="0"/>
                <w:color w:val="1A1A1A"/>
                <w:sz w:val="20"/>
              </w:rPr>
              <w:t>Non-binding</w:t>
            </w:r>
          </w:p>
        </w:tc>
        <w:tc>
          <w:tcPr>
            <w:tcW w:type="dxa" w:w="6520"/>
            <w:shd w:val="clear" w:color="auto" w:fill="F5F5F5"/>
          </w:tcPr>
          <w:p>
            <w:pPr>
              <w:spacing w:before="20" w:after="40"/>
            </w:pPr>
            <w:r/>
            <w:r>
              <w:rPr>
                <w:color w:val="1A1A1A"/>
                <w:sz w:val="20"/>
              </w:rPr>
              <w:t>This document is non-binding and subject to contract; no obligations arise until definitive agreements are signed.</w:t>
            </w:r>
          </w:p>
        </w:tc>
      </w:tr>
    </w:tbl>
    <w:p>
      <w:pPr>
        <w:spacing w:after="80"/>
      </w:pPr>
    </w:p>
    <w:p>
      <w:r>
        <w:br w:type="page"/>
      </w:r>
    </w:p>
    <w:p>
      <w:pPr>
        <w:keepNext/>
        <w:spacing w:before="280" w:after="80"/>
      </w:pPr>
      <w:r>
        <w:rPr>
          <w:rFonts w:ascii="Calibri" w:hAnsi="Calibri"/>
          <w:b/>
          <w:color w:val="C9A227"/>
          <w:sz w:val="28"/>
        </w:rPr>
        <w:t>PART D — REVISED CAP TABLE MODEL &amp; EARN-IN</w:t>
      </w:r>
    </w:p>
    <w:p>
      <w:pPr>
        <w:keepNext/>
        <w:spacing w:before="160" w:after="80"/>
      </w:pPr>
      <w:r>
        <w:rPr>
          <w:rFonts w:ascii="Calibri" w:hAnsi="Calibri"/>
          <w:b/>
          <w:color w:val="1A1A1A"/>
          <w:sz w:val="22"/>
        </w:rPr>
        <w:t>On Signing (Founding 10%)</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006064"/>
          </w:tcPr>
          <w:p>
            <w:pPr>
              <w:jc w:val="center"/>
            </w:pPr>
            <w:r/>
            <w:r>
              <w:rPr>
                <w:b/>
                <w:i w:val="0"/>
                <w:color w:val="FFFFFF"/>
                <w:sz w:val="18"/>
              </w:rPr>
              <w:t>Shareholder</w:t>
            </w:r>
          </w:p>
        </w:tc>
        <w:tc>
          <w:tcPr>
            <w:tcW w:type="dxa" w:w="1474"/>
            <w:shd w:val="clear" w:color="auto" w:fill="006064"/>
          </w:tcPr>
          <w:p>
            <w:pPr>
              <w:jc w:val="center"/>
            </w:pPr>
            <w:r/>
            <w:r>
              <w:rPr>
                <w:b/>
                <w:i w:val="0"/>
                <w:color w:val="FFFFFF"/>
                <w:sz w:val="18"/>
              </w:rPr>
              <w:t>Shares</w:t>
            </w:r>
          </w:p>
        </w:tc>
        <w:tc>
          <w:tcPr>
            <w:tcW w:type="dxa" w:w="1361"/>
            <w:shd w:val="clear" w:color="auto" w:fill="006064"/>
          </w:tcPr>
          <w:p>
            <w:pPr>
              <w:jc w:val="center"/>
            </w:pPr>
            <w:r/>
            <w:r>
              <w:rPr>
                <w:b/>
                <w:i w:val="0"/>
                <w:color w:val="FFFFFF"/>
                <w:sz w:val="18"/>
              </w:rPr>
              <w:t>% Holding</w:t>
            </w:r>
          </w:p>
        </w:tc>
        <w:tc>
          <w:tcPr>
            <w:tcW w:type="dxa" w:w="1474"/>
            <w:shd w:val="clear" w:color="auto" w:fill="006064"/>
          </w:tcPr>
          <w:p>
            <w:pPr>
              <w:jc w:val="center"/>
            </w:pPr>
            <w:r/>
            <w:r>
              <w:rPr>
                <w:b/>
                <w:i w:val="0"/>
                <w:color w:val="FFFFFF"/>
                <w:sz w:val="18"/>
              </w:rPr>
              <w:t>Change</w:t>
            </w:r>
          </w:p>
        </w:tc>
        <w:tc>
          <w:tcPr>
            <w:tcW w:type="dxa" w:w="2494"/>
            <w:shd w:val="clear" w:color="auto" w:fill="006064"/>
          </w:tcPr>
          <w:p>
            <w:pPr>
              <w:jc w:val="center"/>
            </w:pPr>
            <w:r/>
            <w:r>
              <w:rPr>
                <w:b/>
                <w:i w:val="0"/>
                <w:color w:val="FFFFFF"/>
                <w:sz w:val="18"/>
              </w:rPr>
              <w:t>Notes</w:t>
            </w:r>
          </w:p>
        </w:tc>
      </w:tr>
      <w:tr>
        <w:tc>
          <w:tcPr>
            <w:tcW w:type="dxa" w:w="2835"/>
            <w:shd w:val="clear" w:color="auto" w:fill="FFFFFF"/>
          </w:tcPr>
          <w:p>
            <w:r/>
            <w:r>
              <w:rPr>
                <w:b w:val="0"/>
                <w:i w:val="0"/>
                <w:color w:val="1A1A1A"/>
                <w:sz w:val="20"/>
              </w:rPr>
              <w:t>Davin Cloete</w:t>
            </w:r>
          </w:p>
        </w:tc>
        <w:tc>
          <w:tcPr>
            <w:tcW w:type="dxa" w:w="1474"/>
            <w:shd w:val="clear" w:color="auto" w:fill="FFFFFF"/>
          </w:tcPr>
          <w:p>
            <w:pPr>
              <w:jc w:val="center"/>
            </w:pPr>
            <w:r/>
            <w:r>
              <w:rPr>
                <w:b w:val="0"/>
                <w:i w:val="0"/>
                <w:color w:val="1A1A1A"/>
                <w:sz w:val="20"/>
              </w:rPr>
              <w:t>900</w:t>
            </w:r>
          </w:p>
        </w:tc>
        <w:tc>
          <w:tcPr>
            <w:tcW w:type="dxa" w:w="1361"/>
            <w:shd w:val="clear" w:color="auto" w:fill="FFFFFF"/>
          </w:tcPr>
          <w:p>
            <w:pPr>
              <w:jc w:val="center"/>
            </w:pPr>
            <w:r/>
            <w:r>
              <w:rPr>
                <w:b w:val="0"/>
                <w:i w:val="0"/>
                <w:color w:val="1A1A1A"/>
                <w:sz w:val="20"/>
              </w:rPr>
              <w:t>90%</w:t>
            </w:r>
          </w:p>
        </w:tc>
        <w:tc>
          <w:tcPr>
            <w:tcW w:type="dxa" w:w="1474"/>
            <w:shd w:val="clear" w:color="auto" w:fill="FFFFFF"/>
          </w:tcPr>
          <w:p>
            <w:pPr>
              <w:jc w:val="center"/>
            </w:pPr>
            <w:r/>
            <w:r>
              <w:rPr>
                <w:b w:val="0"/>
                <w:i w:val="0"/>
                <w:color w:val="1A1A1A"/>
                <w:sz w:val="20"/>
              </w:rPr>
              <w:t>−100</w:t>
            </w:r>
          </w:p>
        </w:tc>
        <w:tc>
          <w:tcPr>
            <w:tcW w:type="dxa" w:w="2494"/>
            <w:shd w:val="clear" w:color="auto" w:fill="FFFFFF"/>
          </w:tcPr>
          <w:p>
            <w:r/>
            <w:r>
              <w:rPr>
                <w:b w:val="0"/>
                <w:i w:val="0"/>
                <w:color w:val="1A1A1A"/>
                <w:sz w:val="20"/>
              </w:rPr>
              <w:t>Technology, strategy, IP</w:t>
            </w:r>
          </w:p>
        </w:tc>
      </w:tr>
      <w:tr>
        <w:tc>
          <w:tcPr>
            <w:tcW w:type="dxa" w:w="2835"/>
            <w:shd w:val="clear" w:color="auto" w:fill="F5F5F5"/>
          </w:tcPr>
          <w:p>
            <w:r/>
            <w:r>
              <w:rPr>
                <w:b w:val="0"/>
                <w:i w:val="0"/>
                <w:color w:val="1A1A1A"/>
                <w:sz w:val="20"/>
              </w:rPr>
              <w:t>Simon Hobday</w:t>
            </w:r>
          </w:p>
        </w:tc>
        <w:tc>
          <w:tcPr>
            <w:tcW w:type="dxa" w:w="1474"/>
            <w:shd w:val="clear" w:color="auto" w:fill="F5F5F5"/>
          </w:tcPr>
          <w:p>
            <w:pPr>
              <w:jc w:val="center"/>
            </w:pPr>
            <w:r/>
            <w:r>
              <w:rPr>
                <w:b w:val="0"/>
                <w:i w:val="0"/>
                <w:color w:val="1A1A1A"/>
                <w:sz w:val="20"/>
              </w:rPr>
              <w:t>100</w:t>
            </w:r>
          </w:p>
        </w:tc>
        <w:tc>
          <w:tcPr>
            <w:tcW w:type="dxa" w:w="1361"/>
            <w:shd w:val="clear" w:color="auto" w:fill="F5F5F5"/>
          </w:tcPr>
          <w:p>
            <w:pPr>
              <w:jc w:val="center"/>
            </w:pPr>
            <w:r/>
            <w:r>
              <w:rPr>
                <w:b w:val="0"/>
                <w:i w:val="0"/>
                <w:color w:val="1A1A1A"/>
                <w:sz w:val="20"/>
              </w:rPr>
              <w:t>10%</w:t>
            </w:r>
          </w:p>
        </w:tc>
        <w:tc>
          <w:tcPr>
            <w:tcW w:type="dxa" w:w="1474"/>
            <w:shd w:val="clear" w:color="auto" w:fill="F5F5F5"/>
          </w:tcPr>
          <w:p>
            <w:pPr>
              <w:jc w:val="center"/>
            </w:pPr>
            <w:r/>
            <w:r>
              <w:rPr>
                <w:b w:val="0"/>
                <w:i w:val="0"/>
                <w:color w:val="1A1A1A"/>
                <w:sz w:val="20"/>
              </w:rPr>
              <w:t>+100</w:t>
            </w:r>
          </w:p>
        </w:tc>
        <w:tc>
          <w:tcPr>
            <w:tcW w:type="dxa" w:w="2494"/>
            <w:shd w:val="clear" w:color="auto" w:fill="F5F5F5"/>
          </w:tcPr>
          <w:p>
            <w:r/>
            <w:r>
              <w:rPr>
                <w:b w:val="0"/>
                <w:i w:val="0"/>
                <w:color w:val="1A1A1A"/>
                <w:sz w:val="20"/>
              </w:rPr>
              <w:t>Founding grant (nil consideration)</w:t>
            </w:r>
          </w:p>
        </w:tc>
      </w:tr>
      <w:tr>
        <w:tc>
          <w:tcPr>
            <w:tcW w:type="dxa" w:w="2835"/>
            <w:shd w:val="clear" w:color="auto" w:fill="F5EBC8"/>
          </w:tcPr>
          <w:p>
            <w:r/>
            <w:r>
              <w:rPr>
                <w:b/>
                <w:i w:val="0"/>
                <w:color w:val="1A1A1A"/>
                <w:sz w:val="20"/>
              </w:rPr>
              <w:t>TOTAL</w:t>
            </w:r>
          </w:p>
        </w:tc>
        <w:tc>
          <w:tcPr>
            <w:tcW w:type="dxa" w:w="1474"/>
            <w:shd w:val="clear" w:color="auto" w:fill="F5EBC8"/>
          </w:tcPr>
          <w:p>
            <w:pPr>
              <w:jc w:val="center"/>
            </w:pPr>
            <w:r/>
            <w:r>
              <w:rPr>
                <w:b/>
                <w:i w:val="0"/>
                <w:color w:val="1A1A1A"/>
                <w:sz w:val="20"/>
              </w:rPr>
              <w:t>1,000</w:t>
            </w:r>
          </w:p>
        </w:tc>
        <w:tc>
          <w:tcPr>
            <w:tcW w:type="dxa" w:w="1361"/>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494"/>
            <w:shd w:val="clear" w:color="auto" w:fill="F5EBC8"/>
          </w:tcPr>
          <w:p>
            <w:r/>
            <w:r>
              <w:rPr>
                <w:b/>
                <w:i w:val="0"/>
                <w:color w:val="1A1A1A"/>
                <w:sz w:val="20"/>
              </w:rPr>
            </w:r>
          </w:p>
        </w:tc>
      </w:tr>
    </w:tbl>
    <w:p>
      <w:pPr>
        <w:spacing w:after="160"/>
      </w:pPr>
      <w:r>
        <w:rPr>
          <w:i/>
          <w:color w:val="555555"/>
          <w:sz w:val="18"/>
        </w:rPr>
        <w:t>★  Founding 10% carries no performance condition.</w:t>
      </w:r>
    </w:p>
    <w:p>
      <w:pPr>
        <w:keepNext/>
        <w:spacing w:before="160" w:after="80"/>
      </w:pPr>
      <w:r>
        <w:rPr>
          <w:rFonts w:ascii="Calibri" w:hAnsi="Calibri"/>
          <w:b/>
          <w:color w:val="1A1A1A"/>
          <w:sz w:val="22"/>
        </w:rPr>
        <w:t>If All Milestones Achieved (Full Earn-In)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C9A227"/>
          </w:tcPr>
          <w:p>
            <w:pPr>
              <w:jc w:val="center"/>
            </w:pPr>
            <w:r/>
            <w:r>
              <w:rPr>
                <w:b/>
                <w:i w:val="0"/>
                <w:color w:val="FFFFFF"/>
                <w:sz w:val="18"/>
              </w:rPr>
              <w:t>Shareholder</w:t>
            </w:r>
          </w:p>
        </w:tc>
        <w:tc>
          <w:tcPr>
            <w:tcW w:type="dxa" w:w="1474"/>
            <w:shd w:val="clear" w:color="auto" w:fill="C9A227"/>
          </w:tcPr>
          <w:p>
            <w:pPr>
              <w:jc w:val="center"/>
            </w:pPr>
            <w:r/>
            <w:r>
              <w:rPr>
                <w:b/>
                <w:i w:val="0"/>
                <w:color w:val="FFFFFF"/>
                <w:sz w:val="18"/>
              </w:rPr>
              <w:t>Shares</w:t>
            </w:r>
          </w:p>
        </w:tc>
        <w:tc>
          <w:tcPr>
            <w:tcW w:type="dxa" w:w="1361"/>
            <w:shd w:val="clear" w:color="auto" w:fill="C9A227"/>
          </w:tcPr>
          <w:p>
            <w:pPr>
              <w:jc w:val="center"/>
            </w:pPr>
            <w:r/>
            <w:r>
              <w:rPr>
                <w:b/>
                <w:i w:val="0"/>
                <w:color w:val="FFFFFF"/>
                <w:sz w:val="18"/>
              </w:rPr>
              <w:t>% Holding</w:t>
            </w:r>
          </w:p>
        </w:tc>
        <w:tc>
          <w:tcPr>
            <w:tcW w:type="dxa" w:w="1474"/>
            <w:shd w:val="clear" w:color="auto" w:fill="C9A227"/>
          </w:tcPr>
          <w:p>
            <w:pPr>
              <w:jc w:val="center"/>
            </w:pPr>
            <w:r/>
            <w:r>
              <w:rPr>
                <w:b/>
                <w:i w:val="0"/>
                <w:color w:val="FFFFFF"/>
                <w:sz w:val="18"/>
              </w:rPr>
              <w:t>Change</w:t>
            </w:r>
          </w:p>
        </w:tc>
        <w:tc>
          <w:tcPr>
            <w:tcW w:type="dxa" w:w="2494"/>
            <w:shd w:val="clear" w:color="auto" w:fill="C9A227"/>
          </w:tcPr>
          <w:p>
            <w:pPr>
              <w:jc w:val="center"/>
            </w:pPr>
            <w:r/>
            <w:r>
              <w:rPr>
                <w:b/>
                <w:i w:val="0"/>
                <w:color w:val="FFFFFF"/>
                <w:sz w:val="18"/>
              </w:rPr>
              <w:t>Notes</w:t>
            </w:r>
          </w:p>
        </w:tc>
      </w:tr>
      <w:tr>
        <w:tc>
          <w:tcPr>
            <w:tcW w:type="dxa" w:w="2835"/>
            <w:shd w:val="clear" w:color="auto" w:fill="FFFFFF"/>
          </w:tcPr>
          <w:p>
            <w:r/>
            <w:r>
              <w:rPr>
                <w:b w:val="0"/>
                <w:i w:val="0"/>
                <w:color w:val="1A1A1A"/>
                <w:sz w:val="20"/>
              </w:rPr>
              <w:t>Davin Cloete</w:t>
            </w:r>
          </w:p>
        </w:tc>
        <w:tc>
          <w:tcPr>
            <w:tcW w:type="dxa" w:w="1474"/>
            <w:shd w:val="clear" w:color="auto" w:fill="FFFFFF"/>
          </w:tcPr>
          <w:p>
            <w:pPr>
              <w:jc w:val="center"/>
            </w:pPr>
            <w:r/>
            <w:r>
              <w:rPr>
                <w:b w:val="0"/>
                <w:i w:val="0"/>
                <w:color w:val="1A1A1A"/>
                <w:sz w:val="20"/>
              </w:rPr>
              <w:t>600</w:t>
            </w:r>
          </w:p>
        </w:tc>
        <w:tc>
          <w:tcPr>
            <w:tcW w:type="dxa" w:w="1361"/>
            <w:shd w:val="clear" w:color="auto" w:fill="FFFFFF"/>
          </w:tcPr>
          <w:p>
            <w:pPr>
              <w:jc w:val="center"/>
            </w:pPr>
            <w:r/>
            <w:r>
              <w:rPr>
                <w:b w:val="0"/>
                <w:i w:val="0"/>
                <w:color w:val="1A1A1A"/>
                <w:sz w:val="20"/>
              </w:rPr>
              <w:t>60%</w:t>
            </w:r>
          </w:p>
        </w:tc>
        <w:tc>
          <w:tcPr>
            <w:tcW w:type="dxa" w:w="1474"/>
            <w:shd w:val="clear" w:color="auto" w:fill="FFFFFF"/>
          </w:tcPr>
          <w:p>
            <w:pPr>
              <w:jc w:val="center"/>
            </w:pPr>
            <w:r/>
            <w:r>
              <w:rPr>
                <w:b w:val="0"/>
                <w:i w:val="0"/>
                <w:color w:val="1A1A1A"/>
                <w:sz w:val="20"/>
              </w:rPr>
              <w:t>−300</w:t>
            </w:r>
          </w:p>
        </w:tc>
        <w:tc>
          <w:tcPr>
            <w:tcW w:type="dxa" w:w="2494"/>
            <w:shd w:val="clear" w:color="auto" w:fill="FFFFFF"/>
          </w:tcPr>
          <w:p>
            <w:r/>
            <w:r>
              <w:rPr>
                <w:b w:val="0"/>
                <w:i w:val="0"/>
                <w:color w:val="1A1A1A"/>
                <w:sz w:val="20"/>
              </w:rPr>
              <w:t>After three 10% tranches</w:t>
            </w:r>
          </w:p>
        </w:tc>
      </w:tr>
      <w:tr>
        <w:tc>
          <w:tcPr>
            <w:tcW w:type="dxa" w:w="2835"/>
            <w:shd w:val="clear" w:color="auto" w:fill="F5F5F5"/>
          </w:tcPr>
          <w:p>
            <w:r/>
            <w:r>
              <w:rPr>
                <w:b w:val="0"/>
                <w:i w:val="0"/>
                <w:color w:val="1A1A1A"/>
                <w:sz w:val="20"/>
              </w:rPr>
              <w:t>Simon Hobday</w:t>
            </w:r>
          </w:p>
        </w:tc>
        <w:tc>
          <w:tcPr>
            <w:tcW w:type="dxa" w:w="1474"/>
            <w:shd w:val="clear" w:color="auto" w:fill="F5F5F5"/>
          </w:tcPr>
          <w:p>
            <w:pPr>
              <w:jc w:val="center"/>
            </w:pPr>
            <w:r/>
            <w:r>
              <w:rPr>
                <w:b w:val="0"/>
                <w:i w:val="0"/>
                <w:color w:val="1A1A1A"/>
                <w:sz w:val="20"/>
              </w:rPr>
              <w:t>400</w:t>
            </w:r>
          </w:p>
        </w:tc>
        <w:tc>
          <w:tcPr>
            <w:tcW w:type="dxa" w:w="1361"/>
            <w:shd w:val="clear" w:color="auto" w:fill="F5F5F5"/>
          </w:tcPr>
          <w:p>
            <w:pPr>
              <w:jc w:val="center"/>
            </w:pPr>
            <w:r/>
            <w:r>
              <w:rPr>
                <w:b w:val="0"/>
                <w:i w:val="0"/>
                <w:color w:val="1A1A1A"/>
                <w:sz w:val="20"/>
              </w:rPr>
              <w:t>40%</w:t>
            </w:r>
          </w:p>
        </w:tc>
        <w:tc>
          <w:tcPr>
            <w:tcW w:type="dxa" w:w="1474"/>
            <w:shd w:val="clear" w:color="auto" w:fill="F5F5F5"/>
          </w:tcPr>
          <w:p>
            <w:pPr>
              <w:jc w:val="center"/>
            </w:pPr>
            <w:r/>
            <w:r>
              <w:rPr>
                <w:b w:val="0"/>
                <w:i w:val="0"/>
                <w:color w:val="1A1A1A"/>
                <w:sz w:val="20"/>
              </w:rPr>
              <w:t>+300</w:t>
            </w:r>
          </w:p>
        </w:tc>
        <w:tc>
          <w:tcPr>
            <w:tcW w:type="dxa" w:w="2494"/>
            <w:shd w:val="clear" w:color="auto" w:fill="F5F5F5"/>
          </w:tcPr>
          <w:p>
            <w:r/>
            <w:r>
              <w:rPr>
                <w:b w:val="0"/>
                <w:i w:val="0"/>
                <w:color w:val="1A1A1A"/>
                <w:sz w:val="20"/>
              </w:rPr>
              <w:t>R50m + R100m + R200m AUM all achieved</w:t>
            </w:r>
          </w:p>
        </w:tc>
      </w:tr>
      <w:tr>
        <w:tc>
          <w:tcPr>
            <w:tcW w:type="dxa" w:w="2835"/>
            <w:shd w:val="clear" w:color="auto" w:fill="F5EBC8"/>
          </w:tcPr>
          <w:p>
            <w:r/>
            <w:r>
              <w:rPr>
                <w:b/>
                <w:i w:val="0"/>
                <w:color w:val="1A1A1A"/>
                <w:sz w:val="20"/>
              </w:rPr>
              <w:t>TOTAL</w:t>
            </w:r>
          </w:p>
        </w:tc>
        <w:tc>
          <w:tcPr>
            <w:tcW w:type="dxa" w:w="1474"/>
            <w:shd w:val="clear" w:color="auto" w:fill="F5EBC8"/>
          </w:tcPr>
          <w:p>
            <w:pPr>
              <w:jc w:val="center"/>
            </w:pPr>
            <w:r/>
            <w:r>
              <w:rPr>
                <w:b/>
                <w:i w:val="0"/>
                <w:color w:val="1A1A1A"/>
                <w:sz w:val="20"/>
              </w:rPr>
              <w:t>1,000</w:t>
            </w:r>
          </w:p>
        </w:tc>
        <w:tc>
          <w:tcPr>
            <w:tcW w:type="dxa" w:w="1361"/>
            <w:shd w:val="clear" w:color="auto" w:fill="F5EBC8"/>
          </w:tcPr>
          <w:p>
            <w:pPr>
              <w:jc w:val="center"/>
            </w:pPr>
            <w:r/>
            <w:r>
              <w:rPr>
                <w:b/>
                <w:i w:val="0"/>
                <w:color w:val="1A1A1A"/>
                <w:sz w:val="20"/>
              </w:rPr>
              <w:t>100%</w:t>
            </w:r>
          </w:p>
        </w:tc>
        <w:tc>
          <w:tcPr>
            <w:tcW w:type="dxa" w:w="1474"/>
            <w:shd w:val="clear" w:color="auto" w:fill="F5EBC8"/>
          </w:tcPr>
          <w:p>
            <w:pPr>
              <w:jc w:val="center"/>
            </w:pPr>
            <w:r/>
            <w:r>
              <w:rPr>
                <w:b/>
                <w:i w:val="0"/>
                <w:color w:val="1A1A1A"/>
                <w:sz w:val="20"/>
              </w:rPr>
              <w:t>—</w:t>
            </w:r>
          </w:p>
        </w:tc>
        <w:tc>
          <w:tcPr>
            <w:tcW w:type="dxa" w:w="2494"/>
            <w:shd w:val="clear" w:color="auto" w:fill="F5EBC8"/>
          </w:tcPr>
          <w:p>
            <w:r/>
            <w:r>
              <w:rPr>
                <w:b/>
                <w:i w:val="0"/>
                <w:color w:val="1A1A1A"/>
                <w:sz w:val="20"/>
              </w:rPr>
            </w:r>
          </w:p>
        </w:tc>
      </w:tr>
    </w:tbl>
    <w:p>
      <w:pPr>
        <w:spacing w:after="160"/>
      </w:pPr>
      <w:r>
        <w:rPr>
          <w:i/>
          <w:color w:val="555555"/>
          <w:sz w:val="18"/>
        </w:rPr>
        <w:t>★  Maximum earn-in reached: Simon 40%, Davin 60%.</w:t>
      </w:r>
    </w:p>
    <w:p>
      <w:pPr>
        <w:keepNext/>
        <w:spacing w:before="160" w:after="80"/>
      </w:pPr>
      <w:r>
        <w:rPr>
          <w:rFonts w:ascii="Calibri" w:hAnsi="Calibri"/>
          <w:b/>
          <w:color w:val="1A1A1A"/>
          <w:sz w:val="22"/>
        </w:rPr>
        <w:t>Near-Miss / Pro-Rata Vesting (new — Clause 7)</w:t>
      </w:r>
    </w:p>
    <w:p>
      <w:pPr>
        <w:spacing w:before="40" w:after="80"/>
      </w:pPr>
      <w:r>
        <w:rPr>
          <w:b w:val="0"/>
          <w:i w:val="0"/>
          <w:color w:val="1A1A1A"/>
          <w:sz w:val="20"/>
        </w:rPr>
        <w:t>Worked example showing how a narrowly-missed tranche now vests pro-rata instead of lapsing in full: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006064"/>
          </w:tcPr>
          <w:p>
            <w:pPr>
              <w:jc w:val="center"/>
            </w:pPr>
            <w:r/>
            <w:r>
              <w:rPr>
                <w:b/>
                <w:i w:val="0"/>
                <w:color w:val="FFFFFF"/>
                <w:sz w:val="18"/>
              </w:rPr>
              <w:t>AUM achieved vs R50m target</w:t>
            </w:r>
          </w:p>
        </w:tc>
        <w:tc>
          <w:tcPr>
            <w:tcW w:type="dxa" w:w="1587"/>
            <w:shd w:val="clear" w:color="auto" w:fill="006064"/>
          </w:tcPr>
          <w:p>
            <w:pPr>
              <w:jc w:val="center"/>
            </w:pPr>
            <w:r/>
            <w:r>
              <w:rPr>
                <w:b/>
                <w:i w:val="0"/>
                <w:color w:val="FFFFFF"/>
                <w:sz w:val="18"/>
              </w:rPr>
              <w:t>% of target</w:t>
            </w:r>
          </w:p>
        </w:tc>
        <w:tc>
          <w:tcPr>
            <w:tcW w:type="dxa" w:w="3118"/>
            <w:shd w:val="clear" w:color="auto" w:fill="006064"/>
          </w:tcPr>
          <w:p>
            <w:pPr>
              <w:jc w:val="center"/>
            </w:pPr>
            <w:r/>
            <w:r>
              <w:rPr>
                <w:b/>
                <w:i w:val="0"/>
                <w:color w:val="FFFFFF"/>
                <w:sz w:val="18"/>
              </w:rPr>
              <w:t>Outcome</w:t>
            </w:r>
          </w:p>
        </w:tc>
        <w:tc>
          <w:tcPr>
            <w:tcW w:type="dxa" w:w="1814"/>
            <w:shd w:val="clear" w:color="auto" w:fill="006064"/>
          </w:tcPr>
          <w:p>
            <w:pPr>
              <w:jc w:val="center"/>
            </w:pPr>
            <w:r/>
            <w:r>
              <w:rPr>
                <w:b/>
                <w:i w:val="0"/>
                <w:color w:val="FFFFFF"/>
                <w:sz w:val="18"/>
              </w:rPr>
              <w:t>Tranche vested</w:t>
            </w:r>
          </w:p>
        </w:tc>
      </w:tr>
      <w:tr>
        <w:tc>
          <w:tcPr>
            <w:tcW w:type="dxa" w:w="2835"/>
            <w:shd w:val="clear" w:color="auto" w:fill="FFFFFF"/>
          </w:tcPr>
          <w:p>
            <w:pPr>
              <w:jc w:val="center"/>
            </w:pPr>
            <w:r/>
            <w:r>
              <w:rPr>
                <w:b w:val="0"/>
                <w:i w:val="0"/>
                <w:color w:val="1A1A1A"/>
                <w:sz w:val="18"/>
              </w:rPr>
              <w:t>R50m or more</w:t>
            </w:r>
          </w:p>
        </w:tc>
        <w:tc>
          <w:tcPr>
            <w:tcW w:type="dxa" w:w="1587"/>
            <w:shd w:val="clear" w:color="auto" w:fill="FFFFFF"/>
          </w:tcPr>
          <w:p>
            <w:pPr>
              <w:jc w:val="center"/>
            </w:pPr>
            <w:r/>
            <w:r>
              <w:rPr>
                <w:b w:val="0"/>
                <w:i w:val="0"/>
                <w:color w:val="1A1A1A"/>
                <w:sz w:val="18"/>
              </w:rPr>
              <w:t>≥100%</w:t>
            </w:r>
          </w:p>
        </w:tc>
        <w:tc>
          <w:tcPr>
            <w:tcW w:type="dxa" w:w="3118"/>
            <w:shd w:val="clear" w:color="auto" w:fill="FFFFFF"/>
          </w:tcPr>
          <w:p>
            <w:pPr>
              <w:jc w:val="center"/>
            </w:pPr>
            <w:r/>
            <w:r>
              <w:rPr>
                <w:b w:val="0"/>
                <w:i w:val="0"/>
                <w:color w:val="1B5E20"/>
                <w:sz w:val="18"/>
              </w:rPr>
              <w:t>Full tranche vests</w:t>
            </w:r>
          </w:p>
        </w:tc>
        <w:tc>
          <w:tcPr>
            <w:tcW w:type="dxa" w:w="1814"/>
            <w:shd w:val="clear" w:color="auto" w:fill="FFFFFF"/>
          </w:tcPr>
          <w:p>
            <w:pPr>
              <w:jc w:val="center"/>
            </w:pPr>
            <w:r/>
            <w:r>
              <w:rPr>
                <w:b/>
                <w:i w:val="0"/>
                <w:color w:val="1B5E20"/>
                <w:sz w:val="18"/>
              </w:rPr>
              <w:t>10%</w:t>
            </w:r>
          </w:p>
        </w:tc>
      </w:tr>
      <w:tr>
        <w:tc>
          <w:tcPr>
            <w:tcW w:type="dxa" w:w="2835"/>
            <w:shd w:val="clear" w:color="auto" w:fill="F5F5F5"/>
          </w:tcPr>
          <w:p>
            <w:pPr>
              <w:jc w:val="center"/>
            </w:pPr>
            <w:r/>
            <w:r>
              <w:rPr>
                <w:b w:val="0"/>
                <w:i w:val="0"/>
                <w:color w:val="1A1A1A"/>
                <w:sz w:val="18"/>
              </w:rPr>
              <w:t>R45m</w:t>
            </w:r>
          </w:p>
        </w:tc>
        <w:tc>
          <w:tcPr>
            <w:tcW w:type="dxa" w:w="1587"/>
            <w:shd w:val="clear" w:color="auto" w:fill="F5F5F5"/>
          </w:tcPr>
          <w:p>
            <w:pPr>
              <w:jc w:val="center"/>
            </w:pPr>
            <w:r/>
            <w:r>
              <w:rPr>
                <w:b w:val="0"/>
                <w:i w:val="0"/>
                <w:color w:val="1A1A1A"/>
                <w:sz w:val="18"/>
              </w:rPr>
              <w:t>90%</w:t>
            </w:r>
          </w:p>
        </w:tc>
        <w:tc>
          <w:tcPr>
            <w:tcW w:type="dxa" w:w="3118"/>
            <w:shd w:val="clear" w:color="auto" w:fill="F5F5F5"/>
          </w:tcPr>
          <w:p>
            <w:pPr>
              <w:jc w:val="center"/>
            </w:pPr>
            <w:r/>
            <w:r>
              <w:rPr>
                <w:b w:val="0"/>
                <w:i w:val="0"/>
                <w:color w:val="1A1A1A"/>
                <w:sz w:val="18"/>
              </w:rPr>
              <w:t>6-mo extension, then pro-rata</w:t>
            </w:r>
          </w:p>
        </w:tc>
        <w:tc>
          <w:tcPr>
            <w:tcW w:type="dxa" w:w="1814"/>
            <w:shd w:val="clear" w:color="auto" w:fill="F5F5F5"/>
          </w:tcPr>
          <w:p>
            <w:pPr>
              <w:jc w:val="center"/>
            </w:pPr>
            <w:r/>
            <w:r>
              <w:rPr>
                <w:b/>
                <w:i w:val="0"/>
                <w:color w:val="1A1A1A"/>
                <w:sz w:val="18"/>
              </w:rPr>
              <w:t>9%</w:t>
            </w:r>
          </w:p>
        </w:tc>
      </w:tr>
      <w:tr>
        <w:tc>
          <w:tcPr>
            <w:tcW w:type="dxa" w:w="2835"/>
            <w:shd w:val="clear" w:color="auto" w:fill="FFFFFF"/>
          </w:tcPr>
          <w:p>
            <w:pPr>
              <w:jc w:val="center"/>
            </w:pPr>
            <w:r/>
            <w:r>
              <w:rPr>
                <w:b w:val="0"/>
                <w:i w:val="0"/>
                <w:color w:val="1A1A1A"/>
                <w:sz w:val="18"/>
              </w:rPr>
              <w:t>R40m</w:t>
            </w:r>
          </w:p>
        </w:tc>
        <w:tc>
          <w:tcPr>
            <w:tcW w:type="dxa" w:w="1587"/>
            <w:shd w:val="clear" w:color="auto" w:fill="FFFFFF"/>
          </w:tcPr>
          <w:p>
            <w:pPr>
              <w:jc w:val="center"/>
            </w:pPr>
            <w:r/>
            <w:r>
              <w:rPr>
                <w:b w:val="0"/>
                <w:i w:val="0"/>
                <w:color w:val="1A1A1A"/>
                <w:sz w:val="18"/>
              </w:rPr>
              <w:t>80%</w:t>
            </w:r>
          </w:p>
        </w:tc>
        <w:tc>
          <w:tcPr>
            <w:tcW w:type="dxa" w:w="3118"/>
            <w:shd w:val="clear" w:color="auto" w:fill="FFFFFF"/>
          </w:tcPr>
          <w:p>
            <w:pPr>
              <w:jc w:val="center"/>
            </w:pPr>
            <w:r/>
            <w:r>
              <w:rPr>
                <w:b w:val="0"/>
                <w:i w:val="0"/>
                <w:color w:val="1A1A1A"/>
                <w:sz w:val="18"/>
              </w:rPr>
              <w:t>6-mo extension, then pro-rata</w:t>
            </w:r>
          </w:p>
        </w:tc>
        <w:tc>
          <w:tcPr>
            <w:tcW w:type="dxa" w:w="1814"/>
            <w:shd w:val="clear" w:color="auto" w:fill="FFFFFF"/>
          </w:tcPr>
          <w:p>
            <w:pPr>
              <w:jc w:val="center"/>
            </w:pPr>
            <w:r/>
            <w:r>
              <w:rPr>
                <w:b/>
                <w:i w:val="0"/>
                <w:color w:val="1A1A1A"/>
                <w:sz w:val="18"/>
              </w:rPr>
              <w:t>8%</w:t>
            </w:r>
          </w:p>
        </w:tc>
      </w:tr>
      <w:tr>
        <w:tc>
          <w:tcPr>
            <w:tcW w:type="dxa" w:w="2835"/>
            <w:shd w:val="clear" w:color="auto" w:fill="F5F5F5"/>
          </w:tcPr>
          <w:p>
            <w:pPr>
              <w:jc w:val="center"/>
            </w:pPr>
            <w:r/>
            <w:r>
              <w:rPr>
                <w:b w:val="0"/>
                <w:i w:val="0"/>
                <w:color w:val="1A1A1A"/>
                <w:sz w:val="18"/>
              </w:rPr>
              <w:t>R35m</w:t>
            </w:r>
          </w:p>
        </w:tc>
        <w:tc>
          <w:tcPr>
            <w:tcW w:type="dxa" w:w="1587"/>
            <w:shd w:val="clear" w:color="auto" w:fill="F5F5F5"/>
          </w:tcPr>
          <w:p>
            <w:pPr>
              <w:jc w:val="center"/>
            </w:pPr>
            <w:r/>
            <w:r>
              <w:rPr>
                <w:b w:val="0"/>
                <w:i w:val="0"/>
                <w:color w:val="1A1A1A"/>
                <w:sz w:val="18"/>
              </w:rPr>
              <w:t>70%</w:t>
            </w:r>
          </w:p>
        </w:tc>
        <w:tc>
          <w:tcPr>
            <w:tcW w:type="dxa" w:w="3118"/>
            <w:shd w:val="clear" w:color="auto" w:fill="F5F5F5"/>
          </w:tcPr>
          <w:p>
            <w:pPr>
              <w:jc w:val="center"/>
            </w:pPr>
            <w:r/>
            <w:r>
              <w:rPr>
                <w:b w:val="0"/>
                <w:i w:val="0"/>
                <w:color w:val="B71C1C"/>
                <w:sz w:val="18"/>
              </w:rPr>
              <w:t>Below 80% — tranche lapses</w:t>
            </w:r>
          </w:p>
        </w:tc>
        <w:tc>
          <w:tcPr>
            <w:tcW w:type="dxa" w:w="1814"/>
            <w:shd w:val="clear" w:color="auto" w:fill="F5F5F5"/>
          </w:tcPr>
          <w:p>
            <w:pPr>
              <w:jc w:val="center"/>
            </w:pPr>
            <w:r/>
            <w:r>
              <w:rPr>
                <w:b/>
                <w:i w:val="0"/>
                <w:color w:val="B71C1C"/>
                <w:sz w:val="18"/>
              </w:rPr>
              <w:t>0%</w:t>
            </w:r>
          </w:p>
        </w:tc>
      </w:tr>
    </w:tbl>
    <w:p>
      <w:pPr>
        <w:spacing w:before="80" w:after="80"/>
      </w:pPr>
      <w:r>
        <w:rPr>
          <w:b w:val="0"/>
          <w:i/>
          <w:color w:val="555555"/>
          <w:sz w:val="18"/>
        </w:rPr>
        <w:t>Note: pro-rata vesting only applies at or above 80% of target, and only after the automatic 6-month extension has run. Below 80%, the tranche lapses and the shares remain with Davin.</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