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C9A227"/>
          <w:sz w:val="36"/>
        </w:rPr>
        <w:t>BITWEALTH ASSET MANAGERS (PTY) LTD</w:t>
      </w:r>
    </w:p>
    <w:p>
      <w:pPr>
        <w:spacing w:after="40"/>
        <w:jc w:val="center"/>
      </w:pPr>
      <w:r>
        <w:rPr>
          <w:color w:val="1A1A1A"/>
          <w:sz w:val="22"/>
        </w:rPr>
        <w:t>Part A — Cap Table Model &amp; Earn-In Schedule (v4)</w:t>
      </w:r>
    </w:p>
    <w:p>
      <w:pPr>
        <w:spacing w:after="200"/>
        <w:jc w:val="center"/>
      </w:pPr>
      <w:r>
        <w:rPr>
          <w:i/>
          <w:color w:val="555555"/>
          <w:sz w:val="18"/>
        </w:rPr>
        <w:t>Date: 11 July 2026  ·  PRIVATE &amp; CONFIDENTIAL  ·  NON-BINDING  ·  SUBJECT TO CONTRACT</w:t>
      </w:r>
    </w:p>
    <w:p>
      <w:pPr>
        <w:spacing w:before="80" w:after="80"/>
        <w:pBdr>
          <w:bottom w:val="single" w:sz="4" w:space="1" w:color="C9A227"/>
        </w:pBdr>
      </w:pPr>
    </w:p>
    <w:p>
      <w:pPr>
        <w:keepNext/>
        <w:spacing w:before="280" w:after="80"/>
      </w:pPr>
      <w:r>
        <w:rPr>
          <w:rFonts w:ascii="Calibri" w:hAnsi="Calibri"/>
          <w:b/>
          <w:color w:val="C9A227"/>
          <w:sz w:val="28"/>
        </w:rPr>
        <w:t>1.  BACKGROUND &amp; IP FOUNDATION</w:t>
      </w:r>
    </w:p>
    <w:p>
      <w:pPr>
        <w:spacing w:before="40" w:after="80"/>
      </w:pPr>
      <w:r>
        <w:rPr>
          <w:b w:val="0"/>
          <w:i w:val="0"/>
          <w:color w:val="1A1A1A"/>
          <w:sz w:val="20"/>
        </w:rPr>
        <w:t>BitWealth Asset Managers (Pty) Ltd ('the Company', Registration No. 2026 / 090346 / 07) operates a Bitcoin Dollar-Cost Averaging (DCA) investment management platform regulated under the Financial Advisory and Intermediary Services Act, 37 of 2002 (FAIS Act). The Company will be appointed as a Juristic Representative (JR) under the FSP licence of Finova Capital (Pty) Ltd (FSP No. 21095).</w:t>
      </w:r>
    </w:p>
    <w:p>
      <w:pPr>
        <w:spacing w:before="40" w:after="80"/>
      </w:pPr>
      <w:r>
        <w:rPr>
          <w:b w:val="0"/>
          <w:i w:val="0"/>
          <w:color w:val="1A1A1A"/>
          <w:sz w:val="20"/>
        </w:rPr>
        <w:t>The proprietary technology platform (BitWealth LTH PVR System) has been transferred to the Company under a signed IP Transfer Agreement at an agreed value of R2,500,000, contributed by Davin Harald Gaier. The asset is recorded on the Company's balance sheet.</w:t>
      </w:r>
    </w:p>
    <w:p>
      <w:pPr>
        <w:spacing w:before="40" w:after="80"/>
      </w:pPr>
      <w:r>
        <w:rPr>
          <w:b w:val="0"/>
          <w:i/>
          <w:color w:val="555555"/>
          <w:sz w:val="18"/>
        </w:rPr>
        <w:t>The Company has 1,000 ordinary shares of R1.00 par value in issue, all carrying equal voting, dividend, and liquidation rights. Davin Harald Gaier currently holds all 1,000 shares.</w:t>
      </w:r>
    </w:p>
    <w:p>
      <w:pPr>
        <w:spacing w:before="80" w:after="80"/>
        <w:pBdr>
          <w:bottom w:val="single" w:sz="4" w:space="1" w:color="C9A227"/>
        </w:pBdr>
      </w:pPr>
    </w:p>
    <w:p>
      <w:pPr>
        <w:keepNext/>
        <w:spacing w:before="160" w:after="80"/>
      </w:pPr>
      <w:r>
        <w:rPr>
          <w:rFonts w:ascii="Calibri" w:hAnsi="Calibri"/>
          <w:b/>
          <w:color w:val="1A1A1A"/>
          <w:sz w:val="22"/>
        </w:rPr>
        <w:t>Stage 0 — Current Shareholding (Pre-Signing)</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1A1A1A"/>
          </w:tcPr>
          <w:p>
            <w:pPr>
              <w:jc w:val="center"/>
            </w:pPr>
            <w:r/>
            <w:r>
              <w:rPr>
                <w:b/>
                <w:i w:val="0"/>
                <w:color w:val="FFFFFF"/>
                <w:sz w:val="18"/>
              </w:rPr>
              <w:t>Shareholder</w:t>
            </w:r>
          </w:p>
        </w:tc>
        <w:tc>
          <w:tcPr>
            <w:tcW w:type="dxa" w:w="1361"/>
            <w:shd w:val="clear" w:color="auto" w:fill="1A1A1A"/>
          </w:tcPr>
          <w:p>
            <w:pPr>
              <w:jc w:val="center"/>
            </w:pPr>
            <w:r/>
            <w:r>
              <w:rPr>
                <w:b/>
                <w:i w:val="0"/>
                <w:color w:val="FFFFFF"/>
                <w:sz w:val="18"/>
              </w:rPr>
              <w:t>Shares</w:t>
            </w:r>
          </w:p>
        </w:tc>
        <w:tc>
          <w:tcPr>
            <w:tcW w:type="dxa" w:w="1247"/>
            <w:shd w:val="clear" w:color="auto" w:fill="1A1A1A"/>
          </w:tcPr>
          <w:p>
            <w:pPr>
              <w:jc w:val="center"/>
            </w:pPr>
            <w:r/>
            <w:r>
              <w:rPr>
                <w:b/>
                <w:i w:val="0"/>
                <w:color w:val="FFFFFF"/>
                <w:sz w:val="18"/>
              </w:rPr>
              <w:t>% Holding</w:t>
            </w:r>
          </w:p>
        </w:tc>
        <w:tc>
          <w:tcPr>
            <w:tcW w:type="dxa" w:w="1474"/>
            <w:shd w:val="clear" w:color="auto" w:fill="1A1A1A"/>
          </w:tcPr>
          <w:p>
            <w:pPr>
              <w:jc w:val="center"/>
            </w:pPr>
            <w:r/>
            <w:r>
              <w:rPr>
                <w:b/>
                <w:i w:val="0"/>
                <w:color w:val="FFFFFF"/>
                <w:sz w:val="18"/>
              </w:rPr>
              <w:t>Change</w:t>
            </w:r>
          </w:p>
        </w:tc>
        <w:tc>
          <w:tcPr>
            <w:tcW w:type="dxa" w:w="2608"/>
            <w:shd w:val="clear" w:color="auto" w:fill="1A1A1A"/>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1,000</w:t>
            </w:r>
          </w:p>
        </w:tc>
        <w:tc>
          <w:tcPr>
            <w:tcW w:type="dxa" w:w="1247"/>
            <w:shd w:val="clear" w:color="auto" w:fill="FFFFFF"/>
          </w:tcPr>
          <w:p>
            <w:pPr>
              <w:jc w:val="center"/>
            </w:pPr>
            <w:r/>
            <w:r>
              <w:rPr>
                <w:b w:val="0"/>
                <w:i w:val="0"/>
                <w:color w:val="1A1A1A"/>
                <w:sz w:val="20"/>
              </w:rPr>
              <w:t>100%</w:t>
            </w:r>
          </w:p>
        </w:tc>
        <w:tc>
          <w:tcPr>
            <w:tcW w:type="dxa" w:w="1474"/>
            <w:shd w:val="clear" w:color="auto" w:fill="FFFFFF"/>
          </w:tcPr>
          <w:p>
            <w:pPr>
              <w:jc w:val="center"/>
            </w:pPr>
            <w:r/>
            <w:r>
              <w:rPr>
                <w:b w:val="0"/>
                <w:i w:val="0"/>
                <w:color w:val="1A1A1A"/>
                <w:sz w:val="20"/>
              </w:rPr>
              <w:t>—</w:t>
            </w:r>
          </w:p>
        </w:tc>
        <w:tc>
          <w:tcPr>
            <w:tcW w:type="dxa" w:w="2608"/>
            <w:shd w:val="clear" w:color="auto" w:fill="FFFFFF"/>
          </w:tcPr>
          <w:p>
            <w:r/>
            <w:r>
              <w:rPr>
                <w:b w:val="0"/>
                <w:i w:val="0"/>
                <w:color w:val="1A1A1A"/>
                <w:sz w:val="20"/>
              </w:rPr>
              <w:t>IP contributor; technology platform</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Nil</w:t>
            </w:r>
          </w:p>
        </w:tc>
        <w:tc>
          <w:tcPr>
            <w:tcW w:type="dxa" w:w="1247"/>
            <w:shd w:val="clear" w:color="auto" w:fill="F5F5F5"/>
          </w:tcPr>
          <w:p>
            <w:pPr>
              <w:jc w:val="center"/>
            </w:pPr>
            <w:r/>
            <w:r>
              <w:rPr>
                <w:b w:val="0"/>
                <w:i w:val="0"/>
                <w:color w:val="1A1A1A"/>
                <w:sz w:val="20"/>
              </w:rPr>
              <w:t>—</w:t>
            </w:r>
          </w:p>
        </w:tc>
        <w:tc>
          <w:tcPr>
            <w:tcW w:type="dxa" w:w="1474"/>
            <w:shd w:val="clear" w:color="auto" w:fill="F5F5F5"/>
          </w:tcPr>
          <w:p>
            <w:pPr>
              <w:jc w:val="center"/>
            </w:pPr>
            <w:r/>
            <w:r>
              <w:rPr>
                <w:b w:val="0"/>
                <w:i w:val="0"/>
                <w:color w:val="1A1A1A"/>
                <w:sz w:val="20"/>
              </w:rPr>
              <w:t>—</w:t>
            </w:r>
          </w:p>
        </w:tc>
        <w:tc>
          <w:tcPr>
            <w:tcW w:type="dxa" w:w="2608"/>
            <w:shd w:val="clear" w:color="auto" w:fill="F5F5F5"/>
          </w:tcPr>
          <w:p>
            <w:r/>
            <w:r>
              <w:rPr>
                <w:b w:val="0"/>
                <w:i w:val="0"/>
                <w:color w:val="1A1A1A"/>
                <w:sz w:val="20"/>
              </w:rPr>
              <w:t>Not yet a shareholder</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spacing w:after="160"/>
      </w:pPr>
      <w:r>
        <w:rPr>
          <w:i/>
          <w:color w:val="555555"/>
          <w:sz w:val="18"/>
        </w:rPr>
        <w:t>★  IP value R2,500,000 contributed by Davin Harald Gaier.</w:t>
      </w:r>
    </w:p>
    <w:p>
      <w:pPr>
        <w:keepNext/>
        <w:spacing w:before="160" w:after="80"/>
      </w:pPr>
      <w:r>
        <w:rPr>
          <w:rFonts w:ascii="Calibri" w:hAnsi="Calibri"/>
          <w:b/>
          <w:color w:val="1A1A1A"/>
          <w:sz w:val="22"/>
        </w:rPr>
        <w:t>Stage 1 — On Signing (Founding 10%)</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006064"/>
          </w:tcPr>
          <w:p>
            <w:pPr>
              <w:jc w:val="center"/>
            </w:pPr>
            <w:r/>
            <w:r>
              <w:rPr>
                <w:b/>
                <w:i w:val="0"/>
                <w:color w:val="FFFFFF"/>
                <w:sz w:val="18"/>
              </w:rPr>
              <w:t>Shareholder</w:t>
            </w:r>
          </w:p>
        </w:tc>
        <w:tc>
          <w:tcPr>
            <w:tcW w:type="dxa" w:w="1361"/>
            <w:shd w:val="clear" w:color="auto" w:fill="006064"/>
          </w:tcPr>
          <w:p>
            <w:pPr>
              <w:jc w:val="center"/>
            </w:pPr>
            <w:r/>
            <w:r>
              <w:rPr>
                <w:b/>
                <w:i w:val="0"/>
                <w:color w:val="FFFFFF"/>
                <w:sz w:val="18"/>
              </w:rPr>
              <w:t>Shares</w:t>
            </w:r>
          </w:p>
        </w:tc>
        <w:tc>
          <w:tcPr>
            <w:tcW w:type="dxa" w:w="1247"/>
            <w:shd w:val="clear" w:color="auto" w:fill="006064"/>
          </w:tcPr>
          <w:p>
            <w:pPr>
              <w:jc w:val="center"/>
            </w:pPr>
            <w:r/>
            <w:r>
              <w:rPr>
                <w:b/>
                <w:i w:val="0"/>
                <w:color w:val="FFFFFF"/>
                <w:sz w:val="18"/>
              </w:rPr>
              <w:t>% Holding</w:t>
            </w:r>
          </w:p>
        </w:tc>
        <w:tc>
          <w:tcPr>
            <w:tcW w:type="dxa" w:w="1474"/>
            <w:shd w:val="clear" w:color="auto" w:fill="006064"/>
          </w:tcPr>
          <w:p>
            <w:pPr>
              <w:jc w:val="center"/>
            </w:pPr>
            <w:r/>
            <w:r>
              <w:rPr>
                <w:b/>
                <w:i w:val="0"/>
                <w:color w:val="FFFFFF"/>
                <w:sz w:val="18"/>
              </w:rPr>
              <w:t>Change</w:t>
            </w:r>
          </w:p>
        </w:tc>
        <w:tc>
          <w:tcPr>
            <w:tcW w:type="dxa" w:w="2608"/>
            <w:shd w:val="clear" w:color="auto" w:fill="006064"/>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900</w:t>
            </w:r>
          </w:p>
        </w:tc>
        <w:tc>
          <w:tcPr>
            <w:tcW w:type="dxa" w:w="1247"/>
            <w:shd w:val="clear" w:color="auto" w:fill="FFFFFF"/>
          </w:tcPr>
          <w:p>
            <w:pPr>
              <w:jc w:val="center"/>
            </w:pPr>
            <w:r/>
            <w:r>
              <w:rPr>
                <w:b w:val="0"/>
                <w:i w:val="0"/>
                <w:color w:val="1A1A1A"/>
                <w:sz w:val="20"/>
              </w:rPr>
              <w:t>90%</w:t>
            </w:r>
          </w:p>
        </w:tc>
        <w:tc>
          <w:tcPr>
            <w:tcW w:type="dxa" w:w="1474"/>
            <w:shd w:val="clear" w:color="auto" w:fill="FFFFFF"/>
          </w:tcPr>
          <w:p>
            <w:pPr>
              <w:jc w:val="center"/>
            </w:pPr>
            <w:r/>
            <w:r>
              <w:rPr>
                <w:b w:val="0"/>
                <w:i w:val="0"/>
                <w:color w:val="1A1A1A"/>
                <w:sz w:val="20"/>
              </w:rPr>
              <w:t>−100</w:t>
            </w:r>
          </w:p>
        </w:tc>
        <w:tc>
          <w:tcPr>
            <w:tcW w:type="dxa" w:w="2608"/>
            <w:shd w:val="clear" w:color="auto" w:fill="FFFFFF"/>
          </w:tcPr>
          <w:p>
            <w:r/>
            <w:r>
              <w:rPr>
                <w:b w:val="0"/>
                <w:i w:val="0"/>
                <w:color w:val="1A1A1A"/>
                <w:sz w:val="20"/>
              </w:rPr>
              <w:t>Technology, strategy, IP</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100</w:t>
            </w:r>
          </w:p>
        </w:tc>
        <w:tc>
          <w:tcPr>
            <w:tcW w:type="dxa" w:w="1247"/>
            <w:shd w:val="clear" w:color="auto" w:fill="F5F5F5"/>
          </w:tcPr>
          <w:p>
            <w:pPr>
              <w:jc w:val="center"/>
            </w:pPr>
            <w:r/>
            <w:r>
              <w:rPr>
                <w:b w:val="0"/>
                <w:i w:val="0"/>
                <w:color w:val="1A1A1A"/>
                <w:sz w:val="20"/>
              </w:rPr>
              <w:t>10%</w:t>
            </w:r>
          </w:p>
        </w:tc>
        <w:tc>
          <w:tcPr>
            <w:tcW w:type="dxa" w:w="1474"/>
            <w:shd w:val="clear" w:color="auto" w:fill="F5F5F5"/>
          </w:tcPr>
          <w:p>
            <w:pPr>
              <w:jc w:val="center"/>
            </w:pPr>
            <w:r/>
            <w:r>
              <w:rPr>
                <w:b w:val="0"/>
                <w:i w:val="0"/>
                <w:color w:val="1A1A1A"/>
                <w:sz w:val="20"/>
              </w:rPr>
              <w:t>+100</w:t>
            </w:r>
          </w:p>
        </w:tc>
        <w:tc>
          <w:tcPr>
            <w:tcW w:type="dxa" w:w="2608"/>
            <w:shd w:val="clear" w:color="auto" w:fill="F5F5F5"/>
          </w:tcPr>
          <w:p>
            <w:r/>
            <w:r>
              <w:rPr>
                <w:b w:val="0"/>
                <w:i w:val="0"/>
                <w:color w:val="1A1A1A"/>
                <w:sz w:val="20"/>
              </w:rPr>
              <w:t>Founding grant (nil consideration)</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spacing w:after="160"/>
      </w:pPr>
      <w:r>
        <w:rPr>
          <w:i/>
          <w:color w:val="555555"/>
          <w:sz w:val="18"/>
        </w:rPr>
        <w:t>★  Founding 10% carries no performance condition.</w:t>
      </w:r>
    </w:p>
    <w:p>
      <w:pPr>
        <w:keepNext/>
        <w:spacing w:before="160" w:after="80"/>
      </w:pPr>
      <w:r>
        <w:rPr>
          <w:rFonts w:ascii="Calibri" w:hAnsi="Calibri"/>
          <w:b/>
          <w:color w:val="1A1A1A"/>
          <w:sz w:val="22"/>
        </w:rPr>
        <w:t>Stage 2 — Post Milestone 1 (R50m AUM)</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1B5E20"/>
          </w:tcPr>
          <w:p>
            <w:pPr>
              <w:jc w:val="center"/>
            </w:pPr>
            <w:r/>
            <w:r>
              <w:rPr>
                <w:b/>
                <w:i w:val="0"/>
                <w:color w:val="FFFFFF"/>
                <w:sz w:val="18"/>
              </w:rPr>
              <w:t>Shareholder</w:t>
            </w:r>
          </w:p>
        </w:tc>
        <w:tc>
          <w:tcPr>
            <w:tcW w:type="dxa" w:w="1361"/>
            <w:shd w:val="clear" w:color="auto" w:fill="1B5E20"/>
          </w:tcPr>
          <w:p>
            <w:pPr>
              <w:jc w:val="center"/>
            </w:pPr>
            <w:r/>
            <w:r>
              <w:rPr>
                <w:b/>
                <w:i w:val="0"/>
                <w:color w:val="FFFFFF"/>
                <w:sz w:val="18"/>
              </w:rPr>
              <w:t>Shares</w:t>
            </w:r>
          </w:p>
        </w:tc>
        <w:tc>
          <w:tcPr>
            <w:tcW w:type="dxa" w:w="1247"/>
            <w:shd w:val="clear" w:color="auto" w:fill="1B5E20"/>
          </w:tcPr>
          <w:p>
            <w:pPr>
              <w:jc w:val="center"/>
            </w:pPr>
            <w:r/>
            <w:r>
              <w:rPr>
                <w:b/>
                <w:i w:val="0"/>
                <w:color w:val="FFFFFF"/>
                <w:sz w:val="18"/>
              </w:rPr>
              <w:t>% Holding</w:t>
            </w:r>
          </w:p>
        </w:tc>
        <w:tc>
          <w:tcPr>
            <w:tcW w:type="dxa" w:w="1474"/>
            <w:shd w:val="clear" w:color="auto" w:fill="1B5E20"/>
          </w:tcPr>
          <w:p>
            <w:pPr>
              <w:jc w:val="center"/>
            </w:pPr>
            <w:r/>
            <w:r>
              <w:rPr>
                <w:b/>
                <w:i w:val="0"/>
                <w:color w:val="FFFFFF"/>
                <w:sz w:val="18"/>
              </w:rPr>
              <w:t>Change</w:t>
            </w:r>
          </w:p>
        </w:tc>
        <w:tc>
          <w:tcPr>
            <w:tcW w:type="dxa" w:w="2608"/>
            <w:shd w:val="clear" w:color="auto" w:fill="1B5E20"/>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800</w:t>
            </w:r>
          </w:p>
        </w:tc>
        <w:tc>
          <w:tcPr>
            <w:tcW w:type="dxa" w:w="1247"/>
            <w:shd w:val="clear" w:color="auto" w:fill="FFFFFF"/>
          </w:tcPr>
          <w:p>
            <w:pPr>
              <w:jc w:val="center"/>
            </w:pPr>
            <w:r/>
            <w:r>
              <w:rPr>
                <w:b w:val="0"/>
                <w:i w:val="0"/>
                <w:color w:val="1A1A1A"/>
                <w:sz w:val="20"/>
              </w:rPr>
              <w:t>80%</w:t>
            </w:r>
          </w:p>
        </w:tc>
        <w:tc>
          <w:tcPr>
            <w:tcW w:type="dxa" w:w="1474"/>
            <w:shd w:val="clear" w:color="auto" w:fill="FFFFFF"/>
          </w:tcPr>
          <w:p>
            <w:pPr>
              <w:jc w:val="center"/>
            </w:pPr>
            <w:r/>
            <w:r>
              <w:rPr>
                <w:b w:val="0"/>
                <w:i w:val="0"/>
                <w:color w:val="1A1A1A"/>
                <w:sz w:val="20"/>
              </w:rPr>
              <w:t>−100</w:t>
            </w:r>
          </w:p>
        </w:tc>
        <w:tc>
          <w:tcPr>
            <w:tcW w:type="dxa" w:w="2608"/>
            <w:shd w:val="clear" w:color="auto" w:fill="FFFFFF"/>
          </w:tcPr>
          <w:p>
            <w:r/>
            <w:r>
              <w:rPr>
                <w:b w:val="0"/>
                <w:i w:val="0"/>
                <w:color w:val="1A1A1A"/>
                <w:sz w:val="20"/>
              </w:rPr>
              <w:t>Transfers from own holding</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200</w:t>
            </w:r>
          </w:p>
        </w:tc>
        <w:tc>
          <w:tcPr>
            <w:tcW w:type="dxa" w:w="1247"/>
            <w:shd w:val="clear" w:color="auto" w:fill="F5F5F5"/>
          </w:tcPr>
          <w:p>
            <w:pPr>
              <w:jc w:val="center"/>
            </w:pPr>
            <w:r/>
            <w:r>
              <w:rPr>
                <w:b w:val="0"/>
                <w:i w:val="0"/>
                <w:color w:val="1A1A1A"/>
                <w:sz w:val="20"/>
              </w:rPr>
              <w:t>20%</w:t>
            </w:r>
          </w:p>
        </w:tc>
        <w:tc>
          <w:tcPr>
            <w:tcW w:type="dxa" w:w="1474"/>
            <w:shd w:val="clear" w:color="auto" w:fill="F5F5F5"/>
          </w:tcPr>
          <w:p>
            <w:pPr>
              <w:jc w:val="center"/>
            </w:pPr>
            <w:r/>
            <w:r>
              <w:rPr>
                <w:b w:val="0"/>
                <w:i w:val="0"/>
                <w:color w:val="1A1A1A"/>
                <w:sz w:val="20"/>
              </w:rPr>
              <w:t>+100</w:t>
            </w:r>
          </w:p>
        </w:tc>
        <w:tc>
          <w:tcPr>
            <w:tcW w:type="dxa" w:w="2608"/>
            <w:shd w:val="clear" w:color="auto" w:fill="F5F5F5"/>
          </w:tcPr>
          <w:p>
            <w:r/>
            <w:r>
              <w:rPr>
                <w:b w:val="0"/>
                <w:i w:val="0"/>
                <w:color w:val="1A1A1A"/>
                <w:sz w:val="20"/>
              </w:rPr>
              <w:t>Tranche 1 earned</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keepNext/>
        <w:spacing w:before="160" w:after="80"/>
      </w:pPr>
      <w:r>
        <w:rPr>
          <w:rFonts w:ascii="Calibri" w:hAnsi="Calibri"/>
          <w:b/>
          <w:color w:val="1A1A1A"/>
          <w:sz w:val="22"/>
        </w:rPr>
        <w:t>Stage 3 — Post Milestone 2 (R100m AUM)</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1B5E20"/>
          </w:tcPr>
          <w:p>
            <w:pPr>
              <w:jc w:val="center"/>
            </w:pPr>
            <w:r/>
            <w:r>
              <w:rPr>
                <w:b/>
                <w:i w:val="0"/>
                <w:color w:val="FFFFFF"/>
                <w:sz w:val="18"/>
              </w:rPr>
              <w:t>Shareholder</w:t>
            </w:r>
          </w:p>
        </w:tc>
        <w:tc>
          <w:tcPr>
            <w:tcW w:type="dxa" w:w="1361"/>
            <w:shd w:val="clear" w:color="auto" w:fill="1B5E20"/>
          </w:tcPr>
          <w:p>
            <w:pPr>
              <w:jc w:val="center"/>
            </w:pPr>
            <w:r/>
            <w:r>
              <w:rPr>
                <w:b/>
                <w:i w:val="0"/>
                <w:color w:val="FFFFFF"/>
                <w:sz w:val="18"/>
              </w:rPr>
              <w:t>Shares</w:t>
            </w:r>
          </w:p>
        </w:tc>
        <w:tc>
          <w:tcPr>
            <w:tcW w:type="dxa" w:w="1247"/>
            <w:shd w:val="clear" w:color="auto" w:fill="1B5E20"/>
          </w:tcPr>
          <w:p>
            <w:pPr>
              <w:jc w:val="center"/>
            </w:pPr>
            <w:r/>
            <w:r>
              <w:rPr>
                <w:b/>
                <w:i w:val="0"/>
                <w:color w:val="FFFFFF"/>
                <w:sz w:val="18"/>
              </w:rPr>
              <w:t>% Holding</w:t>
            </w:r>
          </w:p>
        </w:tc>
        <w:tc>
          <w:tcPr>
            <w:tcW w:type="dxa" w:w="1474"/>
            <w:shd w:val="clear" w:color="auto" w:fill="1B5E20"/>
          </w:tcPr>
          <w:p>
            <w:pPr>
              <w:jc w:val="center"/>
            </w:pPr>
            <w:r/>
            <w:r>
              <w:rPr>
                <w:b/>
                <w:i w:val="0"/>
                <w:color w:val="FFFFFF"/>
                <w:sz w:val="18"/>
              </w:rPr>
              <w:t>Change</w:t>
            </w:r>
          </w:p>
        </w:tc>
        <w:tc>
          <w:tcPr>
            <w:tcW w:type="dxa" w:w="2608"/>
            <w:shd w:val="clear" w:color="auto" w:fill="1B5E20"/>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700</w:t>
            </w:r>
          </w:p>
        </w:tc>
        <w:tc>
          <w:tcPr>
            <w:tcW w:type="dxa" w:w="1247"/>
            <w:shd w:val="clear" w:color="auto" w:fill="FFFFFF"/>
          </w:tcPr>
          <w:p>
            <w:pPr>
              <w:jc w:val="center"/>
            </w:pPr>
            <w:r/>
            <w:r>
              <w:rPr>
                <w:b w:val="0"/>
                <w:i w:val="0"/>
                <w:color w:val="1A1A1A"/>
                <w:sz w:val="20"/>
              </w:rPr>
              <w:t>70%</w:t>
            </w:r>
          </w:p>
        </w:tc>
        <w:tc>
          <w:tcPr>
            <w:tcW w:type="dxa" w:w="1474"/>
            <w:shd w:val="clear" w:color="auto" w:fill="FFFFFF"/>
          </w:tcPr>
          <w:p>
            <w:pPr>
              <w:jc w:val="center"/>
            </w:pPr>
            <w:r/>
            <w:r>
              <w:rPr>
                <w:b w:val="0"/>
                <w:i w:val="0"/>
                <w:color w:val="1A1A1A"/>
                <w:sz w:val="20"/>
              </w:rPr>
              <w:t>−100</w:t>
            </w:r>
          </w:p>
        </w:tc>
        <w:tc>
          <w:tcPr>
            <w:tcW w:type="dxa" w:w="2608"/>
            <w:shd w:val="clear" w:color="auto" w:fill="FFFFFF"/>
          </w:tcPr>
          <w:p>
            <w:r/>
            <w:r>
              <w:rPr>
                <w:b w:val="0"/>
                <w:i w:val="0"/>
                <w:color w:val="1A1A1A"/>
                <w:sz w:val="20"/>
              </w:rPr>
              <w:t>Transfers from own holding</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300</w:t>
            </w:r>
          </w:p>
        </w:tc>
        <w:tc>
          <w:tcPr>
            <w:tcW w:type="dxa" w:w="1247"/>
            <w:shd w:val="clear" w:color="auto" w:fill="F5F5F5"/>
          </w:tcPr>
          <w:p>
            <w:pPr>
              <w:jc w:val="center"/>
            </w:pPr>
            <w:r/>
            <w:r>
              <w:rPr>
                <w:b w:val="0"/>
                <w:i w:val="0"/>
                <w:color w:val="1A1A1A"/>
                <w:sz w:val="20"/>
              </w:rPr>
              <w:t>30%</w:t>
            </w:r>
          </w:p>
        </w:tc>
        <w:tc>
          <w:tcPr>
            <w:tcW w:type="dxa" w:w="1474"/>
            <w:shd w:val="clear" w:color="auto" w:fill="F5F5F5"/>
          </w:tcPr>
          <w:p>
            <w:pPr>
              <w:jc w:val="center"/>
            </w:pPr>
            <w:r/>
            <w:r>
              <w:rPr>
                <w:b w:val="0"/>
                <w:i w:val="0"/>
                <w:color w:val="1A1A1A"/>
                <w:sz w:val="20"/>
              </w:rPr>
              <w:t>+100</w:t>
            </w:r>
          </w:p>
        </w:tc>
        <w:tc>
          <w:tcPr>
            <w:tcW w:type="dxa" w:w="2608"/>
            <w:shd w:val="clear" w:color="auto" w:fill="F5F5F5"/>
          </w:tcPr>
          <w:p>
            <w:r/>
            <w:r>
              <w:rPr>
                <w:b w:val="0"/>
                <w:i w:val="0"/>
                <w:color w:val="1A1A1A"/>
                <w:sz w:val="20"/>
              </w:rPr>
              <w:t>Tranche 2 earned</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keepNext/>
        <w:spacing w:before="160" w:after="80"/>
      </w:pPr>
      <w:r>
        <w:rPr>
          <w:rFonts w:ascii="Calibri" w:hAnsi="Calibri"/>
          <w:b/>
          <w:color w:val="1A1A1A"/>
          <w:sz w:val="22"/>
        </w:rPr>
        <w:t>Stage 4 — Post Milestone 3 (R200m AUM) — Full Earn-In</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C9A227"/>
          </w:tcPr>
          <w:p>
            <w:pPr>
              <w:jc w:val="center"/>
            </w:pPr>
            <w:r/>
            <w:r>
              <w:rPr>
                <w:b/>
                <w:i w:val="0"/>
                <w:color w:val="FFFFFF"/>
                <w:sz w:val="18"/>
              </w:rPr>
              <w:t>Shareholder</w:t>
            </w:r>
          </w:p>
        </w:tc>
        <w:tc>
          <w:tcPr>
            <w:tcW w:type="dxa" w:w="1361"/>
            <w:shd w:val="clear" w:color="auto" w:fill="C9A227"/>
          </w:tcPr>
          <w:p>
            <w:pPr>
              <w:jc w:val="center"/>
            </w:pPr>
            <w:r/>
            <w:r>
              <w:rPr>
                <w:b/>
                <w:i w:val="0"/>
                <w:color w:val="FFFFFF"/>
                <w:sz w:val="18"/>
              </w:rPr>
              <w:t>Shares</w:t>
            </w:r>
          </w:p>
        </w:tc>
        <w:tc>
          <w:tcPr>
            <w:tcW w:type="dxa" w:w="1247"/>
            <w:shd w:val="clear" w:color="auto" w:fill="C9A227"/>
          </w:tcPr>
          <w:p>
            <w:pPr>
              <w:jc w:val="center"/>
            </w:pPr>
            <w:r/>
            <w:r>
              <w:rPr>
                <w:b/>
                <w:i w:val="0"/>
                <w:color w:val="FFFFFF"/>
                <w:sz w:val="18"/>
              </w:rPr>
              <w:t>% Holding</w:t>
            </w:r>
          </w:p>
        </w:tc>
        <w:tc>
          <w:tcPr>
            <w:tcW w:type="dxa" w:w="1474"/>
            <w:shd w:val="clear" w:color="auto" w:fill="C9A227"/>
          </w:tcPr>
          <w:p>
            <w:pPr>
              <w:jc w:val="center"/>
            </w:pPr>
            <w:r/>
            <w:r>
              <w:rPr>
                <w:b/>
                <w:i w:val="0"/>
                <w:color w:val="FFFFFF"/>
                <w:sz w:val="18"/>
              </w:rPr>
              <w:t>Change</w:t>
            </w:r>
          </w:p>
        </w:tc>
        <w:tc>
          <w:tcPr>
            <w:tcW w:type="dxa" w:w="2608"/>
            <w:shd w:val="clear" w:color="auto" w:fill="C9A227"/>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600</w:t>
            </w:r>
          </w:p>
        </w:tc>
        <w:tc>
          <w:tcPr>
            <w:tcW w:type="dxa" w:w="1247"/>
            <w:shd w:val="clear" w:color="auto" w:fill="FFFFFF"/>
          </w:tcPr>
          <w:p>
            <w:pPr>
              <w:jc w:val="center"/>
            </w:pPr>
            <w:r/>
            <w:r>
              <w:rPr>
                <w:b w:val="0"/>
                <w:i w:val="0"/>
                <w:color w:val="1A1A1A"/>
                <w:sz w:val="20"/>
              </w:rPr>
              <w:t>60%</w:t>
            </w:r>
          </w:p>
        </w:tc>
        <w:tc>
          <w:tcPr>
            <w:tcW w:type="dxa" w:w="1474"/>
            <w:shd w:val="clear" w:color="auto" w:fill="FFFFFF"/>
          </w:tcPr>
          <w:p>
            <w:pPr>
              <w:jc w:val="center"/>
            </w:pPr>
            <w:r/>
            <w:r>
              <w:rPr>
                <w:b w:val="0"/>
                <w:i w:val="0"/>
                <w:color w:val="1A1A1A"/>
                <w:sz w:val="20"/>
              </w:rPr>
              <w:t>−100</w:t>
            </w:r>
          </w:p>
        </w:tc>
        <w:tc>
          <w:tcPr>
            <w:tcW w:type="dxa" w:w="2608"/>
            <w:shd w:val="clear" w:color="auto" w:fill="FFFFFF"/>
          </w:tcPr>
          <w:p>
            <w:r/>
            <w:r>
              <w:rPr>
                <w:b w:val="0"/>
                <w:i w:val="0"/>
                <w:color w:val="1A1A1A"/>
                <w:sz w:val="20"/>
              </w:rPr>
              <w:t>Final position if all milestones met</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400</w:t>
            </w:r>
          </w:p>
        </w:tc>
        <w:tc>
          <w:tcPr>
            <w:tcW w:type="dxa" w:w="1247"/>
            <w:shd w:val="clear" w:color="auto" w:fill="F5F5F5"/>
          </w:tcPr>
          <w:p>
            <w:pPr>
              <w:jc w:val="center"/>
            </w:pPr>
            <w:r/>
            <w:r>
              <w:rPr>
                <w:b w:val="0"/>
                <w:i w:val="0"/>
                <w:color w:val="1A1A1A"/>
                <w:sz w:val="20"/>
              </w:rPr>
              <w:t>40%</w:t>
            </w:r>
          </w:p>
        </w:tc>
        <w:tc>
          <w:tcPr>
            <w:tcW w:type="dxa" w:w="1474"/>
            <w:shd w:val="clear" w:color="auto" w:fill="F5F5F5"/>
          </w:tcPr>
          <w:p>
            <w:pPr>
              <w:jc w:val="center"/>
            </w:pPr>
            <w:r/>
            <w:r>
              <w:rPr>
                <w:b w:val="0"/>
                <w:i w:val="0"/>
                <w:color w:val="1A1A1A"/>
                <w:sz w:val="20"/>
              </w:rPr>
              <w:t>+100</w:t>
            </w:r>
          </w:p>
        </w:tc>
        <w:tc>
          <w:tcPr>
            <w:tcW w:type="dxa" w:w="2608"/>
            <w:shd w:val="clear" w:color="auto" w:fill="F5F5F5"/>
          </w:tcPr>
          <w:p>
            <w:r/>
            <w:r>
              <w:rPr>
                <w:b w:val="0"/>
                <w:i w:val="0"/>
                <w:color w:val="1A1A1A"/>
                <w:sz w:val="20"/>
              </w:rPr>
              <w:t>Tranche 3 earned — maximum earn-in</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spacing w:after="160"/>
      </w:pPr>
      <w:r>
        <w:rPr>
          <w:i/>
          <w:color w:val="555555"/>
          <w:sz w:val="18"/>
        </w:rPr>
        <w:t>★  Full earn-in: Simon 40%, Davin 60%.</w:t>
      </w:r>
    </w:p>
    <w:p>
      <w:pPr>
        <w:spacing w:before="80" w:after="80"/>
        <w:pBdr>
          <w:bottom w:val="single" w:sz="4" w:space="1" w:color="C9A227"/>
        </w:pBdr>
      </w:pPr>
    </w:p>
    <w:p>
      <w:pPr>
        <w:keepNext/>
        <w:spacing w:before="160" w:after="80"/>
      </w:pPr>
      <w:r>
        <w:rPr>
          <w:rFonts w:ascii="Calibri" w:hAnsi="Calibri"/>
          <w:b/>
          <w:color w:val="1A1A1A"/>
          <w:sz w:val="22"/>
        </w:rPr>
        <w:t>2.  Milestone Outcome Scenarios</w:t>
      </w:r>
    </w:p>
    <w:p>
      <w:pPr>
        <w:spacing w:before="40" w:after="80"/>
      </w:pPr>
      <w:r>
        <w:rPr>
          <w:b w:val="0"/>
          <w:i w:val="0"/>
          <w:color w:val="1A1A1A"/>
          <w:sz w:val="20"/>
        </w:rPr>
        <w:t>Resulting shareholding for each combination of milestone outcomes. Under the new near-miss rule (Clause 7), a narrowly-missed tranche vests pro-rata rather than lapsing entirely — see the worked example below.</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361"/>
            <w:shd w:val="clear" w:color="auto" w:fill="006064"/>
          </w:tcPr>
          <w:p>
            <w:pPr>
              <w:jc w:val="center"/>
            </w:pPr>
            <w:r/>
            <w:r>
              <w:rPr>
                <w:b/>
                <w:i w:val="0"/>
                <w:color w:val="FFFFFF"/>
                <w:sz w:val="18"/>
              </w:rPr>
              <w:t>M1 (R50m)</w:t>
            </w:r>
          </w:p>
        </w:tc>
        <w:tc>
          <w:tcPr>
            <w:tcW w:type="dxa" w:w="1361"/>
            <w:shd w:val="clear" w:color="auto" w:fill="006064"/>
          </w:tcPr>
          <w:p>
            <w:pPr>
              <w:jc w:val="center"/>
            </w:pPr>
            <w:r/>
            <w:r>
              <w:rPr>
                <w:b/>
                <w:i w:val="0"/>
                <w:color w:val="FFFFFF"/>
                <w:sz w:val="18"/>
              </w:rPr>
              <w:t>M2 (R100m)</w:t>
            </w:r>
          </w:p>
        </w:tc>
        <w:tc>
          <w:tcPr>
            <w:tcW w:type="dxa" w:w="1361"/>
            <w:shd w:val="clear" w:color="auto" w:fill="006064"/>
          </w:tcPr>
          <w:p>
            <w:pPr>
              <w:jc w:val="center"/>
            </w:pPr>
            <w:r/>
            <w:r>
              <w:rPr>
                <w:b/>
                <w:i w:val="0"/>
                <w:color w:val="FFFFFF"/>
                <w:sz w:val="18"/>
              </w:rPr>
              <w:t>M3 (R200m)</w:t>
            </w:r>
          </w:p>
        </w:tc>
        <w:tc>
          <w:tcPr>
            <w:tcW w:type="dxa" w:w="1077"/>
            <w:shd w:val="clear" w:color="auto" w:fill="006064"/>
          </w:tcPr>
          <w:p>
            <w:pPr>
              <w:jc w:val="center"/>
            </w:pPr>
            <w:r/>
            <w:r>
              <w:rPr>
                <w:b/>
                <w:i w:val="0"/>
                <w:color w:val="FFFFFF"/>
                <w:sz w:val="18"/>
              </w:rPr>
              <w:t>Davin</w:t>
            </w:r>
          </w:p>
        </w:tc>
        <w:tc>
          <w:tcPr>
            <w:tcW w:type="dxa" w:w="1077"/>
            <w:shd w:val="clear" w:color="auto" w:fill="006064"/>
          </w:tcPr>
          <w:p>
            <w:pPr>
              <w:jc w:val="center"/>
            </w:pPr>
            <w:r/>
            <w:r>
              <w:rPr>
                <w:b/>
                <w:i w:val="0"/>
                <w:color w:val="FFFFFF"/>
                <w:sz w:val="18"/>
              </w:rPr>
              <w:t>Simon</w:t>
            </w:r>
          </w:p>
        </w:tc>
        <w:tc>
          <w:tcPr>
            <w:tcW w:type="dxa" w:w="2608"/>
            <w:shd w:val="clear" w:color="auto" w:fill="006064"/>
          </w:tcPr>
          <w:p>
            <w:pPr>
              <w:jc w:val="center"/>
            </w:pPr>
            <w:r/>
            <w:r>
              <w:rPr>
                <w:b/>
                <w:i w:val="0"/>
                <w:color w:val="FFFFFF"/>
                <w:sz w:val="18"/>
              </w:rPr>
              <w:t>Outcome</w:t>
            </w:r>
          </w:p>
        </w:tc>
      </w:tr>
      <w:tr>
        <w:tc>
          <w:tcPr>
            <w:tcW w:type="dxa" w:w="1361"/>
            <w:shd w:val="clear" w:color="auto" w:fill="F5EBC8"/>
          </w:tcPr>
          <w:p>
            <w:pPr>
              <w:jc w:val="center"/>
            </w:pPr>
            <w:r/>
            <w:r>
              <w:rPr>
                <w:b w:val="0"/>
                <w:i w:val="0"/>
                <w:color w:val="1B5E20"/>
                <w:sz w:val="18"/>
              </w:rPr>
              <w:t>Earned</w:t>
            </w:r>
          </w:p>
        </w:tc>
        <w:tc>
          <w:tcPr>
            <w:tcW w:type="dxa" w:w="1361"/>
            <w:shd w:val="clear" w:color="auto" w:fill="F5EBC8"/>
          </w:tcPr>
          <w:p>
            <w:pPr>
              <w:jc w:val="center"/>
            </w:pPr>
            <w:r/>
            <w:r>
              <w:rPr>
                <w:b w:val="0"/>
                <w:i w:val="0"/>
                <w:color w:val="1B5E20"/>
                <w:sz w:val="18"/>
              </w:rPr>
              <w:t>Earned</w:t>
            </w:r>
          </w:p>
        </w:tc>
        <w:tc>
          <w:tcPr>
            <w:tcW w:type="dxa" w:w="1361"/>
            <w:shd w:val="clear" w:color="auto" w:fill="F5EBC8"/>
          </w:tcPr>
          <w:p>
            <w:pPr>
              <w:jc w:val="center"/>
            </w:pPr>
            <w:r/>
            <w:r>
              <w:rPr>
                <w:b w:val="0"/>
                <w:i w:val="0"/>
                <w:color w:val="1B5E20"/>
                <w:sz w:val="18"/>
              </w:rPr>
              <w:t>Earned</w:t>
            </w:r>
          </w:p>
        </w:tc>
        <w:tc>
          <w:tcPr>
            <w:tcW w:type="dxa" w:w="1077"/>
            <w:shd w:val="clear" w:color="auto" w:fill="F5EBC8"/>
          </w:tcPr>
          <w:p>
            <w:pPr>
              <w:jc w:val="center"/>
            </w:pPr>
            <w:r/>
            <w:r>
              <w:rPr>
                <w:b/>
                <w:i w:val="0"/>
                <w:color w:val="1A1A1A"/>
                <w:sz w:val="18"/>
              </w:rPr>
              <w:t>60%</w:t>
            </w:r>
          </w:p>
        </w:tc>
        <w:tc>
          <w:tcPr>
            <w:tcW w:type="dxa" w:w="1077"/>
            <w:shd w:val="clear" w:color="auto" w:fill="F5EBC8"/>
          </w:tcPr>
          <w:p>
            <w:pPr>
              <w:jc w:val="center"/>
            </w:pPr>
            <w:r/>
            <w:r>
              <w:rPr>
                <w:b/>
                <w:i w:val="0"/>
                <w:color w:val="1A1A1A"/>
                <w:sz w:val="18"/>
              </w:rPr>
              <w:t>40%</w:t>
            </w:r>
          </w:p>
        </w:tc>
        <w:tc>
          <w:tcPr>
            <w:tcW w:type="dxa" w:w="2608"/>
            <w:shd w:val="clear" w:color="auto" w:fill="F5EBC8"/>
          </w:tcPr>
          <w:p>
            <w:pPr>
              <w:jc w:val="center"/>
            </w:pPr>
            <w:r/>
            <w:r>
              <w:rPr>
                <w:b w:val="0"/>
                <w:i w:val="0"/>
                <w:color w:val="1A1A1A"/>
                <w:sz w:val="18"/>
              </w:rPr>
              <w:t>Best case — full earn-in</w:t>
            </w:r>
          </w:p>
        </w:tc>
      </w:tr>
      <w:tr>
        <w:tc>
          <w:tcPr>
            <w:tcW w:type="dxa" w:w="1361"/>
            <w:shd w:val="clear" w:color="auto" w:fill="F5F5F5"/>
          </w:tcPr>
          <w:p>
            <w:pPr>
              <w:jc w:val="center"/>
            </w:pPr>
            <w:r/>
            <w:r>
              <w:rPr>
                <w:b w:val="0"/>
                <w:i w:val="0"/>
                <w:color w:val="1B5E20"/>
                <w:sz w:val="18"/>
              </w:rPr>
              <w:t>Earned</w:t>
            </w:r>
          </w:p>
        </w:tc>
        <w:tc>
          <w:tcPr>
            <w:tcW w:type="dxa" w:w="1361"/>
            <w:shd w:val="clear" w:color="auto" w:fill="F5F5F5"/>
          </w:tcPr>
          <w:p>
            <w:pPr>
              <w:jc w:val="center"/>
            </w:pPr>
            <w:r/>
            <w:r>
              <w:rPr>
                <w:b w:val="0"/>
                <w:i w:val="0"/>
                <w:color w:val="1B5E20"/>
                <w:sz w:val="18"/>
              </w:rPr>
              <w:t>Earned</w:t>
            </w:r>
          </w:p>
        </w:tc>
        <w:tc>
          <w:tcPr>
            <w:tcW w:type="dxa" w:w="1361"/>
            <w:shd w:val="clear" w:color="auto" w:fill="F5F5F5"/>
          </w:tcPr>
          <w:p>
            <w:pPr>
              <w:jc w:val="center"/>
            </w:pPr>
            <w:r/>
            <w:r>
              <w:rPr>
                <w:b w:val="0"/>
                <w:i w:val="0"/>
                <w:color w:val="B71C1C"/>
                <w:sz w:val="18"/>
              </w:rPr>
              <w:t>Lapsed</w:t>
            </w:r>
          </w:p>
        </w:tc>
        <w:tc>
          <w:tcPr>
            <w:tcW w:type="dxa" w:w="1077"/>
            <w:shd w:val="clear" w:color="auto" w:fill="F5F5F5"/>
          </w:tcPr>
          <w:p>
            <w:pPr>
              <w:jc w:val="center"/>
            </w:pPr>
            <w:r/>
            <w:r>
              <w:rPr>
                <w:b/>
                <w:i w:val="0"/>
                <w:color w:val="1A1A1A"/>
                <w:sz w:val="18"/>
              </w:rPr>
              <w:t>70%</w:t>
            </w:r>
          </w:p>
        </w:tc>
        <w:tc>
          <w:tcPr>
            <w:tcW w:type="dxa" w:w="1077"/>
            <w:shd w:val="clear" w:color="auto" w:fill="F5F5F5"/>
          </w:tcPr>
          <w:p>
            <w:pPr>
              <w:jc w:val="center"/>
            </w:pPr>
            <w:r/>
            <w:r>
              <w:rPr>
                <w:b/>
                <w:i w:val="0"/>
                <w:color w:val="1A1A1A"/>
                <w:sz w:val="18"/>
              </w:rPr>
              <w:t>30%</w:t>
            </w:r>
          </w:p>
        </w:tc>
        <w:tc>
          <w:tcPr>
            <w:tcW w:type="dxa" w:w="2608"/>
            <w:shd w:val="clear" w:color="auto" w:fill="F5F5F5"/>
          </w:tcPr>
          <w:p>
            <w:pPr>
              <w:jc w:val="center"/>
            </w:pPr>
            <w:r/>
            <w:r>
              <w:rPr>
                <w:b w:val="0"/>
                <w:i w:val="0"/>
                <w:color w:val="1A1A1A"/>
                <w:sz w:val="18"/>
              </w:rPr>
              <w:t>M3 missed</w:t>
            </w:r>
          </w:p>
        </w:tc>
      </w:tr>
      <w:tr>
        <w:tc>
          <w:tcPr>
            <w:tcW w:type="dxa" w:w="1361"/>
            <w:shd w:val="clear" w:color="auto" w:fill="FFFFFF"/>
          </w:tcPr>
          <w:p>
            <w:pPr>
              <w:jc w:val="center"/>
            </w:pPr>
            <w:r/>
            <w:r>
              <w:rPr>
                <w:b w:val="0"/>
                <w:i w:val="0"/>
                <w:color w:val="1B5E20"/>
                <w:sz w:val="18"/>
              </w:rPr>
              <w:t>Earned</w:t>
            </w:r>
          </w:p>
        </w:tc>
        <w:tc>
          <w:tcPr>
            <w:tcW w:type="dxa" w:w="1361"/>
            <w:shd w:val="clear" w:color="auto" w:fill="FFFFFF"/>
          </w:tcPr>
          <w:p>
            <w:pPr>
              <w:jc w:val="center"/>
            </w:pPr>
            <w:r/>
            <w:r>
              <w:rPr>
                <w:b w:val="0"/>
                <w:i w:val="0"/>
                <w:color w:val="B71C1C"/>
                <w:sz w:val="18"/>
              </w:rPr>
              <w:t>Lapsed</w:t>
            </w:r>
          </w:p>
        </w:tc>
        <w:tc>
          <w:tcPr>
            <w:tcW w:type="dxa" w:w="1361"/>
            <w:shd w:val="clear" w:color="auto" w:fill="FFFFFF"/>
          </w:tcPr>
          <w:p>
            <w:pPr>
              <w:jc w:val="center"/>
            </w:pPr>
            <w:r/>
            <w:r>
              <w:rPr>
                <w:b w:val="0"/>
                <w:i w:val="0"/>
                <w:color w:val="B71C1C"/>
                <w:sz w:val="18"/>
              </w:rPr>
              <w:t>Lapsed</w:t>
            </w:r>
          </w:p>
        </w:tc>
        <w:tc>
          <w:tcPr>
            <w:tcW w:type="dxa" w:w="1077"/>
            <w:shd w:val="clear" w:color="auto" w:fill="FFFFFF"/>
          </w:tcPr>
          <w:p>
            <w:pPr>
              <w:jc w:val="center"/>
            </w:pPr>
            <w:r/>
            <w:r>
              <w:rPr>
                <w:b/>
                <w:i w:val="0"/>
                <w:color w:val="1A1A1A"/>
                <w:sz w:val="18"/>
              </w:rPr>
              <w:t>80%</w:t>
            </w:r>
          </w:p>
        </w:tc>
        <w:tc>
          <w:tcPr>
            <w:tcW w:type="dxa" w:w="1077"/>
            <w:shd w:val="clear" w:color="auto" w:fill="FFFFFF"/>
          </w:tcPr>
          <w:p>
            <w:pPr>
              <w:jc w:val="center"/>
            </w:pPr>
            <w:r/>
            <w:r>
              <w:rPr>
                <w:b/>
                <w:i w:val="0"/>
                <w:color w:val="1A1A1A"/>
                <w:sz w:val="18"/>
              </w:rPr>
              <w:t>20%</w:t>
            </w:r>
          </w:p>
        </w:tc>
        <w:tc>
          <w:tcPr>
            <w:tcW w:type="dxa" w:w="2608"/>
            <w:shd w:val="clear" w:color="auto" w:fill="FFFFFF"/>
          </w:tcPr>
          <w:p>
            <w:pPr>
              <w:jc w:val="center"/>
            </w:pPr>
            <w:r/>
            <w:r>
              <w:rPr>
                <w:b w:val="0"/>
                <w:i w:val="0"/>
                <w:color w:val="1A1A1A"/>
                <w:sz w:val="18"/>
              </w:rPr>
              <w:t>Only M1 achieved</w:t>
            </w:r>
          </w:p>
        </w:tc>
      </w:tr>
      <w:tr>
        <w:tc>
          <w:tcPr>
            <w:tcW w:type="dxa" w:w="1361"/>
            <w:shd w:val="clear" w:color="auto" w:fill="F5F5F5"/>
          </w:tcPr>
          <w:p>
            <w:pPr>
              <w:jc w:val="center"/>
            </w:pPr>
            <w:r/>
            <w:r>
              <w:rPr>
                <w:b w:val="0"/>
                <w:i w:val="0"/>
                <w:color w:val="B71C1C"/>
                <w:sz w:val="18"/>
              </w:rPr>
              <w:t>Lapsed</w:t>
            </w:r>
          </w:p>
        </w:tc>
        <w:tc>
          <w:tcPr>
            <w:tcW w:type="dxa" w:w="1361"/>
            <w:shd w:val="clear" w:color="auto" w:fill="F5F5F5"/>
          </w:tcPr>
          <w:p>
            <w:pPr>
              <w:jc w:val="center"/>
            </w:pPr>
            <w:r/>
            <w:r>
              <w:rPr>
                <w:b w:val="0"/>
                <w:i w:val="0"/>
                <w:color w:val="B71C1C"/>
                <w:sz w:val="18"/>
              </w:rPr>
              <w:t>Lapsed</w:t>
            </w:r>
          </w:p>
        </w:tc>
        <w:tc>
          <w:tcPr>
            <w:tcW w:type="dxa" w:w="1361"/>
            <w:shd w:val="clear" w:color="auto" w:fill="F5F5F5"/>
          </w:tcPr>
          <w:p>
            <w:pPr>
              <w:jc w:val="center"/>
            </w:pPr>
            <w:r/>
            <w:r>
              <w:rPr>
                <w:b w:val="0"/>
                <w:i w:val="0"/>
                <w:color w:val="B71C1C"/>
                <w:sz w:val="18"/>
              </w:rPr>
              <w:t>Lapsed</w:t>
            </w:r>
          </w:p>
        </w:tc>
        <w:tc>
          <w:tcPr>
            <w:tcW w:type="dxa" w:w="1077"/>
            <w:shd w:val="clear" w:color="auto" w:fill="F5F5F5"/>
          </w:tcPr>
          <w:p>
            <w:pPr>
              <w:jc w:val="center"/>
            </w:pPr>
            <w:r/>
            <w:r>
              <w:rPr>
                <w:b/>
                <w:i w:val="0"/>
                <w:color w:val="1A1A1A"/>
                <w:sz w:val="18"/>
              </w:rPr>
              <w:t>90%</w:t>
            </w:r>
          </w:p>
        </w:tc>
        <w:tc>
          <w:tcPr>
            <w:tcW w:type="dxa" w:w="1077"/>
            <w:shd w:val="clear" w:color="auto" w:fill="F5F5F5"/>
          </w:tcPr>
          <w:p>
            <w:pPr>
              <w:jc w:val="center"/>
            </w:pPr>
            <w:r/>
            <w:r>
              <w:rPr>
                <w:b/>
                <w:i w:val="0"/>
                <w:color w:val="1A1A1A"/>
                <w:sz w:val="18"/>
              </w:rPr>
              <w:t>10%</w:t>
            </w:r>
          </w:p>
        </w:tc>
        <w:tc>
          <w:tcPr>
            <w:tcW w:type="dxa" w:w="2608"/>
            <w:shd w:val="clear" w:color="auto" w:fill="F5F5F5"/>
          </w:tcPr>
          <w:p>
            <w:pPr>
              <w:jc w:val="center"/>
            </w:pPr>
            <w:r/>
            <w:r>
              <w:rPr>
                <w:b w:val="0"/>
                <w:i w:val="0"/>
                <w:color w:val="1A1A1A"/>
                <w:sz w:val="18"/>
              </w:rPr>
              <w:t>No milestones achieved</w:t>
            </w:r>
          </w:p>
        </w:tc>
      </w:tr>
      <w:tr>
        <w:tc>
          <w:tcPr>
            <w:tcW w:type="dxa" w:w="1361"/>
            <w:shd w:val="clear" w:color="auto" w:fill="FFFFFF"/>
          </w:tcPr>
          <w:p>
            <w:pPr>
              <w:jc w:val="center"/>
            </w:pPr>
            <w:r/>
            <w:r>
              <w:rPr>
                <w:b w:val="0"/>
                <w:i w:val="0"/>
                <w:color w:val="B71C1C"/>
                <w:sz w:val="18"/>
              </w:rPr>
              <w:t>Lapsed</w:t>
            </w:r>
          </w:p>
        </w:tc>
        <w:tc>
          <w:tcPr>
            <w:tcW w:type="dxa" w:w="1361"/>
            <w:shd w:val="clear" w:color="auto" w:fill="FFFFFF"/>
          </w:tcPr>
          <w:p>
            <w:pPr>
              <w:jc w:val="center"/>
            </w:pPr>
            <w:r/>
            <w:r>
              <w:rPr>
                <w:b w:val="0"/>
                <w:i w:val="0"/>
                <w:color w:val="1B5E20"/>
                <w:sz w:val="18"/>
              </w:rPr>
              <w:t>Earned</w:t>
            </w:r>
          </w:p>
        </w:tc>
        <w:tc>
          <w:tcPr>
            <w:tcW w:type="dxa" w:w="1361"/>
            <w:shd w:val="clear" w:color="auto" w:fill="FFFFFF"/>
          </w:tcPr>
          <w:p>
            <w:pPr>
              <w:jc w:val="center"/>
            </w:pPr>
            <w:r/>
            <w:r>
              <w:rPr>
                <w:b w:val="0"/>
                <w:i w:val="0"/>
                <w:color w:val="1B5E20"/>
                <w:sz w:val="18"/>
              </w:rPr>
              <w:t>Earned</w:t>
            </w:r>
          </w:p>
        </w:tc>
        <w:tc>
          <w:tcPr>
            <w:tcW w:type="dxa" w:w="1077"/>
            <w:shd w:val="clear" w:color="auto" w:fill="FFFFFF"/>
          </w:tcPr>
          <w:p>
            <w:pPr>
              <w:jc w:val="center"/>
            </w:pPr>
            <w:r/>
            <w:r>
              <w:rPr>
                <w:b/>
                <w:i w:val="0"/>
                <w:color w:val="1A1A1A"/>
                <w:sz w:val="18"/>
              </w:rPr>
              <w:t>70%</w:t>
            </w:r>
          </w:p>
        </w:tc>
        <w:tc>
          <w:tcPr>
            <w:tcW w:type="dxa" w:w="1077"/>
            <w:shd w:val="clear" w:color="auto" w:fill="FFFFFF"/>
          </w:tcPr>
          <w:p>
            <w:pPr>
              <w:jc w:val="center"/>
            </w:pPr>
            <w:r/>
            <w:r>
              <w:rPr>
                <w:b/>
                <w:i w:val="0"/>
                <w:color w:val="1A1A1A"/>
                <w:sz w:val="18"/>
              </w:rPr>
              <w:t>30%</w:t>
            </w:r>
          </w:p>
        </w:tc>
        <w:tc>
          <w:tcPr>
            <w:tcW w:type="dxa" w:w="2608"/>
            <w:shd w:val="clear" w:color="auto" w:fill="FFFFFF"/>
          </w:tcPr>
          <w:p>
            <w:pPr>
              <w:jc w:val="center"/>
            </w:pPr>
            <w:r/>
            <w:r>
              <w:rPr>
                <w:b w:val="0"/>
                <w:i w:val="0"/>
                <w:color w:val="1A1A1A"/>
                <w:sz w:val="18"/>
              </w:rPr>
              <w:t>M1 missed; M2 &amp; M3 achieved</w:t>
            </w:r>
          </w:p>
        </w:tc>
      </w:tr>
    </w:tbl>
    <w:p>
      <w:pPr>
        <w:spacing w:before="40" w:after="80"/>
      </w:pPr>
      <w:r>
        <w:rPr>
          <w:b w:val="0"/>
          <w:i/>
          <w:color w:val="555555"/>
          <w:sz w:val="18"/>
        </w:rPr>
        <w:t>Simon retains his founding 10% regardless of milestone outcomes (subject only to bad-leaver provisions). Unearned tranches revert to Davin.</w:t>
      </w:r>
    </w:p>
    <w:p>
      <w:pPr>
        <w:spacing w:before="80" w:after="80"/>
        <w:pBdr>
          <w:bottom w:val="single" w:sz="4" w:space="1" w:color="C9A227"/>
        </w:pBdr>
      </w:pPr>
    </w:p>
    <w:p>
      <w:pPr>
        <w:keepNext/>
        <w:spacing w:before="160" w:after="80"/>
      </w:pPr>
      <w:r>
        <w:rPr>
          <w:rFonts w:ascii="Calibri" w:hAnsi="Calibri"/>
          <w:b/>
          <w:color w:val="1A1A1A"/>
          <w:sz w:val="22"/>
        </w:rPr>
        <w:t>3.  Near-Miss / Pro-Rata Vesting (Clause 7)</w:t>
      </w:r>
    </w:p>
    <w:p>
      <w:pPr>
        <w:spacing w:before="40" w:after="80"/>
      </w:pPr>
      <w:r>
        <w:rPr>
          <w:b w:val="0"/>
          <w:i w:val="0"/>
          <w:color w:val="1A1A1A"/>
          <w:sz w:val="20"/>
        </w:rPr>
        <w:t>Worked example for Tranche 1 (R50m target): a narrowly-missed tranche now vests pro-rata after an automatic 6-month extension, instead of lapsing in full.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268"/>
            <w:shd w:val="clear" w:color="auto" w:fill="006064"/>
          </w:tcPr>
          <w:p>
            <w:pPr>
              <w:jc w:val="center"/>
            </w:pPr>
            <w:r/>
            <w:r>
              <w:rPr>
                <w:b/>
                <w:i w:val="0"/>
                <w:color w:val="FFFFFF"/>
                <w:sz w:val="18"/>
              </w:rPr>
              <w:t>AUM at deadline</w:t>
            </w:r>
          </w:p>
        </w:tc>
        <w:tc>
          <w:tcPr>
            <w:tcW w:type="dxa" w:w="1587"/>
            <w:shd w:val="clear" w:color="auto" w:fill="006064"/>
          </w:tcPr>
          <w:p>
            <w:pPr>
              <w:jc w:val="center"/>
            </w:pPr>
            <w:r/>
            <w:r>
              <w:rPr>
                <w:b/>
                <w:i w:val="0"/>
                <w:color w:val="FFFFFF"/>
                <w:sz w:val="18"/>
              </w:rPr>
              <w:t>% of target</w:t>
            </w:r>
          </w:p>
        </w:tc>
        <w:tc>
          <w:tcPr>
            <w:tcW w:type="dxa" w:w="3402"/>
            <w:shd w:val="clear" w:color="auto" w:fill="006064"/>
          </w:tcPr>
          <w:p>
            <w:pPr>
              <w:jc w:val="center"/>
            </w:pPr>
            <w:r/>
            <w:r>
              <w:rPr>
                <w:b/>
                <w:i w:val="0"/>
                <w:color w:val="FFFFFF"/>
                <w:sz w:val="18"/>
              </w:rPr>
              <w:t>Outcome</w:t>
            </w:r>
          </w:p>
        </w:tc>
        <w:tc>
          <w:tcPr>
            <w:tcW w:type="dxa" w:w="1814"/>
            <w:shd w:val="clear" w:color="auto" w:fill="006064"/>
          </w:tcPr>
          <w:p>
            <w:pPr>
              <w:jc w:val="center"/>
            </w:pPr>
            <w:r/>
            <w:r>
              <w:rPr>
                <w:b/>
                <w:i w:val="0"/>
                <w:color w:val="FFFFFF"/>
                <w:sz w:val="18"/>
              </w:rPr>
              <w:t>Tranche vested</w:t>
            </w:r>
          </w:p>
        </w:tc>
      </w:tr>
      <w:tr>
        <w:tc>
          <w:tcPr>
            <w:tcW w:type="dxa" w:w="2268"/>
            <w:shd w:val="clear" w:color="auto" w:fill="FFFFFF"/>
          </w:tcPr>
          <w:p>
            <w:pPr>
              <w:jc w:val="center"/>
            </w:pPr>
            <w:r/>
            <w:r>
              <w:rPr>
                <w:b w:val="0"/>
                <w:i w:val="0"/>
                <w:color w:val="1A1A1A"/>
                <w:sz w:val="18"/>
              </w:rPr>
              <w:t>R50m or more</w:t>
            </w:r>
          </w:p>
        </w:tc>
        <w:tc>
          <w:tcPr>
            <w:tcW w:type="dxa" w:w="1587"/>
            <w:shd w:val="clear" w:color="auto" w:fill="FFFFFF"/>
          </w:tcPr>
          <w:p>
            <w:pPr>
              <w:jc w:val="center"/>
            </w:pPr>
            <w:r/>
            <w:r>
              <w:rPr>
                <w:b w:val="0"/>
                <w:i w:val="0"/>
                <w:color w:val="1A1A1A"/>
                <w:sz w:val="18"/>
              </w:rPr>
              <w:t>≥100%</w:t>
            </w:r>
          </w:p>
        </w:tc>
        <w:tc>
          <w:tcPr>
            <w:tcW w:type="dxa" w:w="3402"/>
            <w:shd w:val="clear" w:color="auto" w:fill="FFFFFF"/>
          </w:tcPr>
          <w:p>
            <w:pPr>
              <w:jc w:val="center"/>
            </w:pPr>
            <w:r/>
            <w:r>
              <w:rPr>
                <w:b w:val="0"/>
                <w:i w:val="0"/>
                <w:color w:val="1A1A1A"/>
                <w:sz w:val="18"/>
              </w:rPr>
              <w:t>Full tranche vests</w:t>
            </w:r>
          </w:p>
        </w:tc>
        <w:tc>
          <w:tcPr>
            <w:tcW w:type="dxa" w:w="1814"/>
            <w:shd w:val="clear" w:color="auto" w:fill="FFFFFF"/>
          </w:tcPr>
          <w:p>
            <w:pPr>
              <w:jc w:val="center"/>
            </w:pPr>
            <w:r/>
            <w:r>
              <w:rPr>
                <w:b/>
                <w:i w:val="0"/>
                <w:color w:val="1B5E20"/>
                <w:sz w:val="18"/>
              </w:rPr>
              <w:t>10%</w:t>
            </w:r>
          </w:p>
        </w:tc>
      </w:tr>
      <w:tr>
        <w:tc>
          <w:tcPr>
            <w:tcW w:type="dxa" w:w="2268"/>
            <w:shd w:val="clear" w:color="auto" w:fill="F5F5F5"/>
          </w:tcPr>
          <w:p>
            <w:pPr>
              <w:jc w:val="center"/>
            </w:pPr>
            <w:r/>
            <w:r>
              <w:rPr>
                <w:b w:val="0"/>
                <w:i w:val="0"/>
                <w:color w:val="1A1A1A"/>
                <w:sz w:val="18"/>
              </w:rPr>
              <w:t>R45m</w:t>
            </w:r>
          </w:p>
        </w:tc>
        <w:tc>
          <w:tcPr>
            <w:tcW w:type="dxa" w:w="1587"/>
            <w:shd w:val="clear" w:color="auto" w:fill="F5F5F5"/>
          </w:tcPr>
          <w:p>
            <w:pPr>
              <w:jc w:val="center"/>
            </w:pPr>
            <w:r/>
            <w:r>
              <w:rPr>
                <w:b w:val="0"/>
                <w:i w:val="0"/>
                <w:color w:val="1A1A1A"/>
                <w:sz w:val="18"/>
              </w:rPr>
              <w:t>90%</w:t>
            </w:r>
          </w:p>
        </w:tc>
        <w:tc>
          <w:tcPr>
            <w:tcW w:type="dxa" w:w="3402"/>
            <w:shd w:val="clear" w:color="auto" w:fill="F5F5F5"/>
          </w:tcPr>
          <w:p>
            <w:pPr>
              <w:jc w:val="center"/>
            </w:pPr>
            <w:r/>
            <w:r>
              <w:rPr>
                <w:b w:val="0"/>
                <w:i w:val="0"/>
                <w:color w:val="1A1A1A"/>
                <w:sz w:val="18"/>
              </w:rPr>
              <w:t>6-mo extension, then pro-rata</w:t>
            </w:r>
          </w:p>
        </w:tc>
        <w:tc>
          <w:tcPr>
            <w:tcW w:type="dxa" w:w="1814"/>
            <w:shd w:val="clear" w:color="auto" w:fill="F5F5F5"/>
          </w:tcPr>
          <w:p>
            <w:pPr>
              <w:jc w:val="center"/>
            </w:pPr>
            <w:r/>
            <w:r>
              <w:rPr>
                <w:b/>
                <w:i w:val="0"/>
                <w:color w:val="1B5E20"/>
                <w:sz w:val="18"/>
              </w:rPr>
              <w:t>9%</w:t>
            </w:r>
          </w:p>
        </w:tc>
      </w:tr>
      <w:tr>
        <w:tc>
          <w:tcPr>
            <w:tcW w:type="dxa" w:w="2268"/>
            <w:shd w:val="clear" w:color="auto" w:fill="FFFFFF"/>
          </w:tcPr>
          <w:p>
            <w:pPr>
              <w:jc w:val="center"/>
            </w:pPr>
            <w:r/>
            <w:r>
              <w:rPr>
                <w:b w:val="0"/>
                <w:i w:val="0"/>
                <w:color w:val="1A1A1A"/>
                <w:sz w:val="18"/>
              </w:rPr>
              <w:t>R40m</w:t>
            </w:r>
          </w:p>
        </w:tc>
        <w:tc>
          <w:tcPr>
            <w:tcW w:type="dxa" w:w="1587"/>
            <w:shd w:val="clear" w:color="auto" w:fill="FFFFFF"/>
          </w:tcPr>
          <w:p>
            <w:pPr>
              <w:jc w:val="center"/>
            </w:pPr>
            <w:r/>
            <w:r>
              <w:rPr>
                <w:b w:val="0"/>
                <w:i w:val="0"/>
                <w:color w:val="1A1A1A"/>
                <w:sz w:val="18"/>
              </w:rPr>
              <w:t>80%</w:t>
            </w:r>
          </w:p>
        </w:tc>
        <w:tc>
          <w:tcPr>
            <w:tcW w:type="dxa" w:w="3402"/>
            <w:shd w:val="clear" w:color="auto" w:fill="FFFFFF"/>
          </w:tcPr>
          <w:p>
            <w:pPr>
              <w:jc w:val="center"/>
            </w:pPr>
            <w:r/>
            <w:r>
              <w:rPr>
                <w:b w:val="0"/>
                <w:i w:val="0"/>
                <w:color w:val="1A1A1A"/>
                <w:sz w:val="18"/>
              </w:rPr>
              <w:t>6-mo extension, then pro-rata</w:t>
            </w:r>
          </w:p>
        </w:tc>
        <w:tc>
          <w:tcPr>
            <w:tcW w:type="dxa" w:w="1814"/>
            <w:shd w:val="clear" w:color="auto" w:fill="FFFFFF"/>
          </w:tcPr>
          <w:p>
            <w:pPr>
              <w:jc w:val="center"/>
            </w:pPr>
            <w:r/>
            <w:r>
              <w:rPr>
                <w:b/>
                <w:i w:val="0"/>
                <w:color w:val="1B5E20"/>
                <w:sz w:val="18"/>
              </w:rPr>
              <w:t>8%</w:t>
            </w:r>
          </w:p>
        </w:tc>
      </w:tr>
      <w:tr>
        <w:tc>
          <w:tcPr>
            <w:tcW w:type="dxa" w:w="2268"/>
            <w:shd w:val="clear" w:color="auto" w:fill="F5F5F5"/>
          </w:tcPr>
          <w:p>
            <w:pPr>
              <w:jc w:val="center"/>
            </w:pPr>
            <w:r/>
            <w:r>
              <w:rPr>
                <w:b w:val="0"/>
                <w:i w:val="0"/>
                <w:color w:val="1A1A1A"/>
                <w:sz w:val="18"/>
              </w:rPr>
              <w:t>R35m</w:t>
            </w:r>
          </w:p>
        </w:tc>
        <w:tc>
          <w:tcPr>
            <w:tcW w:type="dxa" w:w="1587"/>
            <w:shd w:val="clear" w:color="auto" w:fill="F5F5F5"/>
          </w:tcPr>
          <w:p>
            <w:pPr>
              <w:jc w:val="center"/>
            </w:pPr>
            <w:r/>
            <w:r>
              <w:rPr>
                <w:b w:val="0"/>
                <w:i w:val="0"/>
                <w:color w:val="1A1A1A"/>
                <w:sz w:val="18"/>
              </w:rPr>
              <w:t>70%</w:t>
            </w:r>
          </w:p>
        </w:tc>
        <w:tc>
          <w:tcPr>
            <w:tcW w:type="dxa" w:w="3402"/>
            <w:shd w:val="clear" w:color="auto" w:fill="F5F5F5"/>
          </w:tcPr>
          <w:p>
            <w:pPr>
              <w:jc w:val="center"/>
            </w:pPr>
            <w:r/>
            <w:r>
              <w:rPr>
                <w:b w:val="0"/>
                <w:i w:val="0"/>
                <w:color w:val="B71C1C"/>
                <w:sz w:val="18"/>
              </w:rPr>
              <w:t>Below 80% — tranche lapses</w:t>
            </w:r>
          </w:p>
        </w:tc>
        <w:tc>
          <w:tcPr>
            <w:tcW w:type="dxa" w:w="1814"/>
            <w:shd w:val="clear" w:color="auto" w:fill="F5F5F5"/>
          </w:tcPr>
          <w:p>
            <w:pPr>
              <w:jc w:val="center"/>
            </w:pPr>
            <w:r/>
            <w:r>
              <w:rPr>
                <w:b/>
                <w:i w:val="0"/>
                <w:color w:val="B71C1C"/>
                <w:sz w:val="18"/>
              </w:rPr>
              <w:t>0%</w:t>
            </w:r>
          </w:p>
        </w:tc>
      </w:tr>
    </w:tbl>
    <w:p>
      <w:pPr>
        <w:spacing w:before="80" w:after="80"/>
        <w:pBdr>
          <w:bottom w:val="single" w:sz="4" w:space="1" w:color="C9A227"/>
        </w:pBdr>
      </w:pPr>
    </w:p>
    <w:p>
      <w:pPr>
        <w:keepNext/>
        <w:spacing w:before="160" w:after="80"/>
      </w:pPr>
      <w:r>
        <w:rPr>
          <w:rFonts w:ascii="Calibri" w:hAnsi="Calibri"/>
          <w:b/>
          <w:color w:val="1A1A1A"/>
          <w:sz w:val="22"/>
        </w:rPr>
        <w:t>4.  Milestone Deadlines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361"/>
            <w:shd w:val="clear" w:color="auto" w:fill="C9A227"/>
          </w:tcPr>
          <w:p>
            <w:pPr>
              <w:jc w:val="center"/>
            </w:pPr>
            <w:r/>
            <w:r>
              <w:rPr>
                <w:b/>
                <w:i w:val="0"/>
                <w:color w:val="FFFFFF"/>
                <w:sz w:val="18"/>
              </w:rPr>
              <w:t>Tranche</w:t>
            </w:r>
          </w:p>
        </w:tc>
        <w:tc>
          <w:tcPr>
            <w:tcW w:type="dxa" w:w="2041"/>
            <w:shd w:val="clear" w:color="auto" w:fill="C9A227"/>
          </w:tcPr>
          <w:p>
            <w:pPr>
              <w:jc w:val="center"/>
            </w:pPr>
            <w:r/>
            <w:r>
              <w:rPr>
                <w:b/>
                <w:i w:val="0"/>
                <w:color w:val="FFFFFF"/>
                <w:sz w:val="18"/>
              </w:rPr>
              <w:t>AUM Target</w:t>
            </w:r>
          </w:p>
        </w:tc>
        <w:tc>
          <w:tcPr>
            <w:tcW w:type="dxa" w:w="1644"/>
            <w:shd w:val="clear" w:color="auto" w:fill="C9A227"/>
          </w:tcPr>
          <w:p>
            <w:pPr>
              <w:jc w:val="center"/>
            </w:pPr>
            <w:r/>
            <w:r>
              <w:rPr>
                <w:b/>
                <w:i w:val="0"/>
                <w:color w:val="FFFFFF"/>
                <w:sz w:val="18"/>
              </w:rPr>
              <w:t>Equity</w:t>
            </w:r>
          </w:p>
        </w:tc>
        <w:tc>
          <w:tcPr>
            <w:tcW w:type="dxa" w:w="2041"/>
            <w:shd w:val="clear" w:color="auto" w:fill="C9A227"/>
          </w:tcPr>
          <w:p>
            <w:pPr>
              <w:jc w:val="center"/>
            </w:pPr>
            <w:r/>
            <w:r>
              <w:rPr>
                <w:b/>
                <w:i w:val="0"/>
                <w:color w:val="FFFFFF"/>
                <w:sz w:val="18"/>
              </w:rPr>
              <w:t>Deadline</w:t>
            </w:r>
          </w:p>
        </w:tc>
        <w:tc>
          <w:tcPr>
            <w:tcW w:type="dxa" w:w="1984"/>
            <w:shd w:val="clear" w:color="auto" w:fill="C9A227"/>
          </w:tcPr>
          <w:p>
            <w:pPr>
              <w:jc w:val="center"/>
            </w:pPr>
            <w:r/>
            <w:r>
              <w:rPr>
                <w:b/>
                <w:i w:val="0"/>
                <w:color w:val="FFFFFF"/>
                <w:sz w:val="18"/>
              </w:rPr>
              <w:t>Trigger Date</w:t>
            </w:r>
          </w:p>
        </w:tc>
      </w:tr>
      <w:tr>
        <w:tc>
          <w:tcPr>
            <w:tcW w:type="dxa" w:w="1361"/>
            <w:shd w:val="clear" w:color="auto" w:fill="FFFFFF"/>
          </w:tcPr>
          <w:p>
            <w:pPr>
              <w:jc w:val="center"/>
            </w:pPr>
            <w:r/>
            <w:r>
              <w:rPr>
                <w:b w:val="0"/>
                <w:i w:val="0"/>
                <w:color w:val="1A1A1A"/>
                <w:sz w:val="20"/>
              </w:rPr>
              <w:t>Tranche 1</w:t>
            </w:r>
          </w:p>
        </w:tc>
        <w:tc>
          <w:tcPr>
            <w:tcW w:type="dxa" w:w="2041"/>
            <w:shd w:val="clear" w:color="auto" w:fill="FFFFFF"/>
          </w:tcPr>
          <w:p>
            <w:pPr>
              <w:jc w:val="center"/>
            </w:pPr>
            <w:r/>
            <w:r>
              <w:rPr>
                <w:b w:val="0"/>
                <w:i w:val="0"/>
                <w:color w:val="1A1A1A"/>
                <w:sz w:val="20"/>
              </w:rPr>
              <w:t>R50,000,000</w:t>
            </w:r>
          </w:p>
        </w:tc>
        <w:tc>
          <w:tcPr>
            <w:tcW w:type="dxa" w:w="1644"/>
            <w:shd w:val="clear" w:color="auto" w:fill="FFFFFF"/>
          </w:tcPr>
          <w:p>
            <w:pPr>
              <w:jc w:val="center"/>
            </w:pPr>
            <w:r/>
            <w:r>
              <w:rPr>
                <w:b/>
                <w:i w:val="0"/>
                <w:color w:val="1A1A1A"/>
                <w:sz w:val="20"/>
              </w:rPr>
              <w:t>+10% (→20%)</w:t>
            </w:r>
          </w:p>
        </w:tc>
        <w:tc>
          <w:tcPr>
            <w:tcW w:type="dxa" w:w="2041"/>
            <w:shd w:val="clear" w:color="auto" w:fill="FFFFFF"/>
          </w:tcPr>
          <w:p>
            <w:pPr>
              <w:jc w:val="center"/>
            </w:pPr>
            <w:r/>
            <w:r>
              <w:rPr>
                <w:b w:val="0"/>
                <w:i w:val="0"/>
                <w:color w:val="1A1A1A"/>
                <w:sz w:val="20"/>
              </w:rPr>
              <w:t>24 months</w:t>
            </w:r>
          </w:p>
        </w:tc>
        <w:tc>
          <w:tcPr>
            <w:tcW w:type="dxa" w:w="1984"/>
            <w:shd w:val="clear" w:color="auto" w:fill="FFFFFF"/>
          </w:tcPr>
          <w:p>
            <w:pPr>
              <w:jc w:val="center"/>
            </w:pPr>
            <w:r/>
            <w:r>
              <w:rPr>
                <w:b w:val="0"/>
                <w:i w:val="0"/>
                <w:color w:val="1A1A1A"/>
                <w:sz w:val="20"/>
              </w:rPr>
              <w:t>~July 2028</w:t>
            </w:r>
          </w:p>
        </w:tc>
      </w:tr>
      <w:tr>
        <w:tc>
          <w:tcPr>
            <w:tcW w:type="dxa" w:w="1361"/>
            <w:shd w:val="clear" w:color="auto" w:fill="F5F5F5"/>
          </w:tcPr>
          <w:p>
            <w:pPr>
              <w:jc w:val="center"/>
            </w:pPr>
            <w:r/>
            <w:r>
              <w:rPr>
                <w:b w:val="0"/>
                <w:i w:val="0"/>
                <w:color w:val="1A1A1A"/>
                <w:sz w:val="20"/>
              </w:rPr>
              <w:t>Tranche 2</w:t>
            </w:r>
          </w:p>
        </w:tc>
        <w:tc>
          <w:tcPr>
            <w:tcW w:type="dxa" w:w="2041"/>
            <w:shd w:val="clear" w:color="auto" w:fill="F5F5F5"/>
          </w:tcPr>
          <w:p>
            <w:pPr>
              <w:jc w:val="center"/>
            </w:pPr>
            <w:r/>
            <w:r>
              <w:rPr>
                <w:b w:val="0"/>
                <w:i w:val="0"/>
                <w:color w:val="1A1A1A"/>
                <w:sz w:val="20"/>
              </w:rPr>
              <w:t>R100,000,000</w:t>
            </w:r>
          </w:p>
        </w:tc>
        <w:tc>
          <w:tcPr>
            <w:tcW w:type="dxa" w:w="1644"/>
            <w:shd w:val="clear" w:color="auto" w:fill="F5F5F5"/>
          </w:tcPr>
          <w:p>
            <w:pPr>
              <w:jc w:val="center"/>
            </w:pPr>
            <w:r/>
            <w:r>
              <w:rPr>
                <w:b/>
                <w:i w:val="0"/>
                <w:color w:val="1A1A1A"/>
                <w:sz w:val="20"/>
              </w:rPr>
              <w:t>+10% (→30%)</w:t>
            </w:r>
          </w:p>
        </w:tc>
        <w:tc>
          <w:tcPr>
            <w:tcW w:type="dxa" w:w="2041"/>
            <w:shd w:val="clear" w:color="auto" w:fill="F5F5F5"/>
          </w:tcPr>
          <w:p>
            <w:pPr>
              <w:jc w:val="center"/>
            </w:pPr>
            <w:r/>
            <w:r>
              <w:rPr>
                <w:b w:val="0"/>
                <w:i w:val="0"/>
                <w:color w:val="1A1A1A"/>
                <w:sz w:val="20"/>
              </w:rPr>
              <w:t>48 months</w:t>
            </w:r>
          </w:p>
        </w:tc>
        <w:tc>
          <w:tcPr>
            <w:tcW w:type="dxa" w:w="1984"/>
            <w:shd w:val="clear" w:color="auto" w:fill="F5F5F5"/>
          </w:tcPr>
          <w:p>
            <w:pPr>
              <w:jc w:val="center"/>
            </w:pPr>
            <w:r/>
            <w:r>
              <w:rPr>
                <w:b w:val="0"/>
                <w:i w:val="0"/>
                <w:color w:val="1A1A1A"/>
                <w:sz w:val="20"/>
              </w:rPr>
              <w:t>~July 2030</w:t>
            </w:r>
          </w:p>
        </w:tc>
      </w:tr>
      <w:tr>
        <w:tc>
          <w:tcPr>
            <w:tcW w:type="dxa" w:w="1361"/>
            <w:shd w:val="clear" w:color="auto" w:fill="FFFFFF"/>
          </w:tcPr>
          <w:p>
            <w:pPr>
              <w:jc w:val="center"/>
            </w:pPr>
            <w:r/>
            <w:r>
              <w:rPr>
                <w:b w:val="0"/>
                <w:i w:val="0"/>
                <w:color w:val="1A1A1A"/>
                <w:sz w:val="20"/>
              </w:rPr>
              <w:t>Tranche 3</w:t>
            </w:r>
          </w:p>
        </w:tc>
        <w:tc>
          <w:tcPr>
            <w:tcW w:type="dxa" w:w="2041"/>
            <w:shd w:val="clear" w:color="auto" w:fill="FFFFFF"/>
          </w:tcPr>
          <w:p>
            <w:pPr>
              <w:jc w:val="center"/>
            </w:pPr>
            <w:r/>
            <w:r>
              <w:rPr>
                <w:b w:val="0"/>
                <w:i w:val="0"/>
                <w:color w:val="1A1A1A"/>
                <w:sz w:val="20"/>
              </w:rPr>
              <w:t>R200,000,000</w:t>
            </w:r>
          </w:p>
        </w:tc>
        <w:tc>
          <w:tcPr>
            <w:tcW w:type="dxa" w:w="1644"/>
            <w:shd w:val="clear" w:color="auto" w:fill="FFFFFF"/>
          </w:tcPr>
          <w:p>
            <w:pPr>
              <w:jc w:val="center"/>
            </w:pPr>
            <w:r/>
            <w:r>
              <w:rPr>
                <w:b/>
                <w:i w:val="0"/>
                <w:color w:val="1A1A1A"/>
                <w:sz w:val="20"/>
              </w:rPr>
              <w:t>+10% (→40%)</w:t>
            </w:r>
          </w:p>
        </w:tc>
        <w:tc>
          <w:tcPr>
            <w:tcW w:type="dxa" w:w="2041"/>
            <w:shd w:val="clear" w:color="auto" w:fill="FFFFFF"/>
          </w:tcPr>
          <w:p>
            <w:pPr>
              <w:jc w:val="center"/>
            </w:pPr>
            <w:r/>
            <w:r>
              <w:rPr>
                <w:b w:val="0"/>
                <w:i w:val="0"/>
                <w:color w:val="1A1A1A"/>
                <w:sz w:val="20"/>
              </w:rPr>
              <w:t>72 months</w:t>
            </w:r>
          </w:p>
        </w:tc>
        <w:tc>
          <w:tcPr>
            <w:tcW w:type="dxa" w:w="1984"/>
            <w:shd w:val="clear" w:color="auto" w:fill="FFFFFF"/>
          </w:tcPr>
          <w:p>
            <w:pPr>
              <w:jc w:val="center"/>
            </w:pPr>
            <w:r/>
            <w:r>
              <w:rPr>
                <w:b w:val="0"/>
                <w:i w:val="0"/>
                <w:color w:val="1A1A1A"/>
                <w:sz w:val="20"/>
              </w:rPr>
              <w:t>~July 2032</w:t>
            </w:r>
          </w:p>
        </w:tc>
      </w:tr>
    </w:tbl>
    <w:p>
      <w:pPr>
        <w:spacing w:before="80" w:after="80"/>
      </w:pPr>
      <w:r>
        <w:rPr>
          <w:b w:val="0"/>
          <w:i/>
          <w:color w:val="555555"/>
          <w:sz w:val="18"/>
        </w:rPr>
        <w:t>Rolling deadlines: the trigger dates above assume each milestone is met on time. If a tranche qualifies for a 6-month extension under the near-miss rule (Part B, Clause 7), that tranche's deadline AND the deadlines of all subsequent tranches push out by the length of the extension, because milestones must be achieved in sequence. Example: a 6-month extension on Tranche 1 moves Tranche 2 from ~July 2030 to ~January 2031 and Tranche 3 from ~July 2032 to ~January 2033.</w:t>
      </w:r>
    </w:p>
    <w:p>
      <w:pPr>
        <w:spacing w:before="80" w:after="80"/>
        <w:pBdr>
          <w:bottom w:val="single" w:sz="4" w:space="1" w:color="C9A227"/>
        </w:pBdr>
      </w:pPr>
    </w:p>
    <w:p>
      <w:pPr>
        <w:keepNext/>
        <w:spacing w:before="160" w:after="80"/>
      </w:pPr>
      <w:r>
        <w:rPr>
          <w:rFonts w:ascii="Calibri" w:hAnsi="Calibri"/>
          <w:b/>
          <w:color w:val="1A1A1A"/>
          <w:sz w:val="22"/>
        </w:rPr>
        <w:t>5.  Investor Capital &amp; Impact on Simon's Earn-In</w:t>
      </w:r>
    </w:p>
    <w:p>
      <w:pPr>
        <w:spacing w:before="40" w:after="80"/>
      </w:pPr>
      <w:r>
        <w:rPr>
          <w:b w:val="0"/>
          <w:i w:val="0"/>
          <w:color w:val="1A1A1A"/>
          <w:sz w:val="20"/>
        </w:rPr>
        <w:t>A marketing investor is being introduced to provide Year-1 working capital in exchange for equity of 10%–15%. By agreement between Davin and Simon, this investor equity is carved OUT OF SIMON'S 30% EARN-IN POOL — not out of Davin's 60%, and not out of Simon's founding 10% — because the marketing budget is precisely what enables Simon to reach his AUM milestones.</w:t>
      </w:r>
    </w:p>
    <w:p>
      <w:pPr>
        <w:spacing w:before="40" w:after="80"/>
      </w:pPr>
      <w:r>
        <w:rPr>
          <w:b w:val="0"/>
          <w:i w:val="0"/>
          <w:color w:val="1A1A1A"/>
          <w:sz w:val="20"/>
        </w:rPr>
        <w:t>Mechanics: the AUM milestone targets (R50m / R100m / R200m) do NOT change. Only the equity reward attaching to each tranche reduces pro-rata, so Simon's total earn-in falls from 30% to (30% − investor%). Davin's 60% and Simon's founding 10% are unaffected.</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835"/>
            <w:shd w:val="clear" w:color="auto" w:fill="006064"/>
          </w:tcPr>
          <w:p>
            <w:pPr>
              <w:jc w:val="center"/>
            </w:pPr>
            <w:r/>
            <w:r>
              <w:rPr>
                <w:b/>
                <w:i w:val="0"/>
                <w:color w:val="FFFFFF"/>
                <w:sz w:val="18"/>
              </w:rPr>
              <w:t>At full earn-in</w:t>
            </w:r>
          </w:p>
        </w:tc>
        <w:tc>
          <w:tcPr>
            <w:tcW w:type="dxa" w:w="2041"/>
            <w:shd w:val="clear" w:color="auto" w:fill="006064"/>
          </w:tcPr>
          <w:p>
            <w:pPr>
              <w:jc w:val="center"/>
            </w:pPr>
            <w:r/>
            <w:r>
              <w:rPr>
                <w:b/>
                <w:i w:val="0"/>
                <w:color w:val="FFFFFF"/>
                <w:sz w:val="18"/>
              </w:rPr>
              <w:t>No investor</w:t>
            </w:r>
          </w:p>
        </w:tc>
        <w:tc>
          <w:tcPr>
            <w:tcW w:type="dxa" w:w="2041"/>
            <w:shd w:val="clear" w:color="auto" w:fill="006064"/>
          </w:tcPr>
          <w:p>
            <w:pPr>
              <w:jc w:val="center"/>
            </w:pPr>
            <w:r/>
            <w:r>
              <w:rPr>
                <w:b/>
                <w:i w:val="0"/>
                <w:color w:val="FFFFFF"/>
                <w:sz w:val="18"/>
              </w:rPr>
              <w:t>Investor 10%</w:t>
            </w:r>
          </w:p>
        </w:tc>
        <w:tc>
          <w:tcPr>
            <w:tcW w:type="dxa" w:w="2041"/>
            <w:shd w:val="clear" w:color="auto" w:fill="006064"/>
          </w:tcPr>
          <w:p>
            <w:pPr>
              <w:jc w:val="center"/>
            </w:pPr>
            <w:r/>
            <w:r>
              <w:rPr>
                <w:b/>
                <w:i w:val="0"/>
                <w:color w:val="FFFFFF"/>
                <w:sz w:val="18"/>
              </w:rPr>
              <w:t>Investor 15%</w:t>
            </w:r>
          </w:p>
        </w:tc>
      </w:tr>
      <w:tr>
        <w:tc>
          <w:tcPr>
            <w:tcW w:type="dxa" w:w="2835"/>
            <w:shd w:val="clear" w:color="auto" w:fill="FFFFFF"/>
          </w:tcPr>
          <w:p>
            <w:r/>
            <w:r>
              <w:rPr>
                <w:b/>
                <w:i w:val="0"/>
                <w:color w:val="1A1A1A"/>
                <w:sz w:val="20"/>
              </w:rPr>
              <w:t>Davin (Founder)</w:t>
            </w:r>
          </w:p>
        </w:tc>
        <w:tc>
          <w:tcPr>
            <w:tcW w:type="dxa" w:w="2041"/>
            <w:shd w:val="clear" w:color="auto" w:fill="FFFFFF"/>
          </w:tcPr>
          <w:p>
            <w:pPr>
              <w:jc w:val="center"/>
            </w:pPr>
            <w:r/>
            <w:r>
              <w:rPr>
                <w:b w:val="0"/>
                <w:i w:val="0"/>
                <w:color w:val="1A1A1A"/>
                <w:sz w:val="20"/>
              </w:rPr>
              <w:t>60%</w:t>
            </w:r>
          </w:p>
        </w:tc>
        <w:tc>
          <w:tcPr>
            <w:tcW w:type="dxa" w:w="2041"/>
            <w:shd w:val="clear" w:color="auto" w:fill="FFFFFF"/>
          </w:tcPr>
          <w:p>
            <w:pPr>
              <w:jc w:val="center"/>
            </w:pPr>
            <w:r/>
            <w:r>
              <w:rPr>
                <w:b w:val="0"/>
                <w:i w:val="0"/>
                <w:color w:val="1A1A1A"/>
                <w:sz w:val="20"/>
              </w:rPr>
              <w:t>60%</w:t>
            </w:r>
          </w:p>
        </w:tc>
        <w:tc>
          <w:tcPr>
            <w:tcW w:type="dxa" w:w="2041"/>
            <w:shd w:val="clear" w:color="auto" w:fill="FFFFFF"/>
          </w:tcPr>
          <w:p>
            <w:pPr>
              <w:jc w:val="center"/>
            </w:pPr>
            <w:r/>
            <w:r>
              <w:rPr>
                <w:b w:val="0"/>
                <w:i w:val="0"/>
                <w:color w:val="1A1A1A"/>
                <w:sz w:val="20"/>
              </w:rPr>
              <w:t>60%</w:t>
            </w:r>
          </w:p>
        </w:tc>
      </w:tr>
      <w:tr>
        <w:tc>
          <w:tcPr>
            <w:tcW w:type="dxa" w:w="2835"/>
            <w:shd w:val="clear" w:color="auto" w:fill="F5F5F5"/>
          </w:tcPr>
          <w:p>
            <w:r/>
            <w:r>
              <w:rPr>
                <w:b/>
                <w:i w:val="0"/>
                <w:color w:val="1A1A1A"/>
                <w:sz w:val="20"/>
              </w:rPr>
              <w:t>Simon — founding</w:t>
            </w:r>
          </w:p>
        </w:tc>
        <w:tc>
          <w:tcPr>
            <w:tcW w:type="dxa" w:w="2041"/>
            <w:shd w:val="clear" w:color="auto" w:fill="F5F5F5"/>
          </w:tcPr>
          <w:p>
            <w:pPr>
              <w:jc w:val="center"/>
            </w:pPr>
            <w:r/>
            <w:r>
              <w:rPr>
                <w:b w:val="0"/>
                <w:i w:val="0"/>
                <w:color w:val="1A1A1A"/>
                <w:sz w:val="20"/>
              </w:rPr>
              <w:t>10%</w:t>
            </w:r>
          </w:p>
        </w:tc>
        <w:tc>
          <w:tcPr>
            <w:tcW w:type="dxa" w:w="2041"/>
            <w:shd w:val="clear" w:color="auto" w:fill="F5F5F5"/>
          </w:tcPr>
          <w:p>
            <w:pPr>
              <w:jc w:val="center"/>
            </w:pPr>
            <w:r/>
            <w:r>
              <w:rPr>
                <w:b w:val="0"/>
                <w:i w:val="0"/>
                <w:color w:val="1A1A1A"/>
                <w:sz w:val="20"/>
              </w:rPr>
              <w:t>10%</w:t>
            </w:r>
          </w:p>
        </w:tc>
        <w:tc>
          <w:tcPr>
            <w:tcW w:type="dxa" w:w="2041"/>
            <w:shd w:val="clear" w:color="auto" w:fill="F5F5F5"/>
          </w:tcPr>
          <w:p>
            <w:pPr>
              <w:jc w:val="center"/>
            </w:pPr>
            <w:r/>
            <w:r>
              <w:rPr>
                <w:b w:val="0"/>
                <w:i w:val="0"/>
                <w:color w:val="1A1A1A"/>
                <w:sz w:val="20"/>
              </w:rPr>
              <w:t>10%</w:t>
            </w:r>
          </w:p>
        </w:tc>
      </w:tr>
      <w:tr>
        <w:tc>
          <w:tcPr>
            <w:tcW w:type="dxa" w:w="2835"/>
            <w:shd w:val="clear" w:color="auto" w:fill="FFFFFF"/>
          </w:tcPr>
          <w:p>
            <w:r/>
            <w:r>
              <w:rPr>
                <w:b/>
                <w:i w:val="0"/>
                <w:color w:val="1A1A1A"/>
                <w:sz w:val="20"/>
              </w:rPr>
              <w:t>Simon — earn-in</w:t>
            </w:r>
          </w:p>
        </w:tc>
        <w:tc>
          <w:tcPr>
            <w:tcW w:type="dxa" w:w="2041"/>
            <w:shd w:val="clear" w:color="auto" w:fill="FFFFFF"/>
          </w:tcPr>
          <w:p>
            <w:pPr>
              <w:jc w:val="center"/>
            </w:pPr>
            <w:r/>
            <w:r>
              <w:rPr>
                <w:b w:val="0"/>
                <w:i w:val="0"/>
                <w:color w:val="1A1A1A"/>
                <w:sz w:val="20"/>
              </w:rPr>
              <w:t>30%</w:t>
            </w:r>
          </w:p>
        </w:tc>
        <w:tc>
          <w:tcPr>
            <w:tcW w:type="dxa" w:w="2041"/>
            <w:shd w:val="clear" w:color="auto" w:fill="FFFFFF"/>
          </w:tcPr>
          <w:p>
            <w:pPr>
              <w:jc w:val="center"/>
            </w:pPr>
            <w:r/>
            <w:r>
              <w:rPr>
                <w:b w:val="0"/>
                <w:i w:val="0"/>
                <w:color w:val="1A1A1A"/>
                <w:sz w:val="20"/>
              </w:rPr>
              <w:t>20%</w:t>
            </w:r>
          </w:p>
        </w:tc>
        <w:tc>
          <w:tcPr>
            <w:tcW w:type="dxa" w:w="2041"/>
            <w:shd w:val="clear" w:color="auto" w:fill="FFFFFF"/>
          </w:tcPr>
          <w:p>
            <w:pPr>
              <w:jc w:val="center"/>
            </w:pPr>
            <w:r/>
            <w:r>
              <w:rPr>
                <w:b w:val="0"/>
                <w:i w:val="0"/>
                <w:color w:val="1A1A1A"/>
                <w:sz w:val="20"/>
              </w:rPr>
              <w:t>15%</w:t>
            </w:r>
          </w:p>
        </w:tc>
      </w:tr>
      <w:tr>
        <w:tc>
          <w:tcPr>
            <w:tcW w:type="dxa" w:w="2835"/>
            <w:shd w:val="clear" w:color="auto" w:fill="F5EBC8"/>
          </w:tcPr>
          <w:p>
            <w:r/>
            <w:r>
              <w:rPr>
                <w:b/>
                <w:i w:val="0"/>
                <w:color w:val="1A1A1A"/>
                <w:sz w:val="20"/>
              </w:rPr>
              <w:t>Simon — TOTAL</w:t>
            </w:r>
          </w:p>
        </w:tc>
        <w:tc>
          <w:tcPr>
            <w:tcW w:type="dxa" w:w="2041"/>
            <w:shd w:val="clear" w:color="auto" w:fill="F5EBC8"/>
          </w:tcPr>
          <w:p>
            <w:pPr>
              <w:jc w:val="center"/>
            </w:pPr>
            <w:r/>
            <w:r>
              <w:rPr>
                <w:b/>
                <w:i w:val="0"/>
                <w:color w:val="1A1A1A"/>
                <w:sz w:val="20"/>
              </w:rPr>
              <w:t>40%</w:t>
            </w:r>
          </w:p>
        </w:tc>
        <w:tc>
          <w:tcPr>
            <w:tcW w:type="dxa" w:w="2041"/>
            <w:shd w:val="clear" w:color="auto" w:fill="F5EBC8"/>
          </w:tcPr>
          <w:p>
            <w:pPr>
              <w:jc w:val="center"/>
            </w:pPr>
            <w:r/>
            <w:r>
              <w:rPr>
                <w:b/>
                <w:i w:val="0"/>
                <w:color w:val="1A1A1A"/>
                <w:sz w:val="20"/>
              </w:rPr>
              <w:t>30%</w:t>
            </w:r>
          </w:p>
        </w:tc>
        <w:tc>
          <w:tcPr>
            <w:tcW w:type="dxa" w:w="2041"/>
            <w:shd w:val="clear" w:color="auto" w:fill="F5EBC8"/>
          </w:tcPr>
          <w:p>
            <w:pPr>
              <w:jc w:val="center"/>
            </w:pPr>
            <w:r/>
            <w:r>
              <w:rPr>
                <w:b/>
                <w:i w:val="0"/>
                <w:color w:val="1A1A1A"/>
                <w:sz w:val="20"/>
              </w:rPr>
              <w:t>25%</w:t>
            </w:r>
          </w:p>
        </w:tc>
      </w:tr>
      <w:tr>
        <w:tc>
          <w:tcPr>
            <w:tcW w:type="dxa" w:w="2835"/>
            <w:shd w:val="clear" w:color="auto" w:fill="FFFFFF"/>
          </w:tcPr>
          <w:p>
            <w:r/>
            <w:r>
              <w:rPr>
                <w:b/>
                <w:i w:val="0"/>
                <w:color w:val="1A1A1A"/>
                <w:sz w:val="20"/>
              </w:rPr>
              <w:t>Investor</w:t>
            </w:r>
          </w:p>
        </w:tc>
        <w:tc>
          <w:tcPr>
            <w:tcW w:type="dxa" w:w="2041"/>
            <w:shd w:val="clear" w:color="auto" w:fill="FFFFFF"/>
          </w:tcPr>
          <w:p>
            <w:pPr>
              <w:jc w:val="center"/>
            </w:pPr>
            <w:r/>
            <w:r>
              <w:rPr>
                <w:b w:val="0"/>
                <w:i w:val="0"/>
                <w:color w:val="1A1A1A"/>
                <w:sz w:val="20"/>
              </w:rPr>
              <w:t>0%</w:t>
            </w:r>
          </w:p>
        </w:tc>
        <w:tc>
          <w:tcPr>
            <w:tcW w:type="dxa" w:w="2041"/>
            <w:shd w:val="clear" w:color="auto" w:fill="FFFFFF"/>
          </w:tcPr>
          <w:p>
            <w:pPr>
              <w:jc w:val="center"/>
            </w:pPr>
            <w:r/>
            <w:r>
              <w:rPr>
                <w:b w:val="0"/>
                <w:i w:val="0"/>
                <w:color w:val="1A1A1A"/>
                <w:sz w:val="20"/>
              </w:rPr>
              <w:t>10%</w:t>
            </w:r>
          </w:p>
        </w:tc>
        <w:tc>
          <w:tcPr>
            <w:tcW w:type="dxa" w:w="2041"/>
            <w:shd w:val="clear" w:color="auto" w:fill="FFFFFF"/>
          </w:tcPr>
          <w:p>
            <w:pPr>
              <w:jc w:val="center"/>
            </w:pPr>
            <w:r/>
            <w:r>
              <w:rPr>
                <w:b w:val="0"/>
                <w:i w:val="0"/>
                <w:color w:val="1A1A1A"/>
                <w:sz w:val="20"/>
              </w:rPr>
              <w:t>15%</w:t>
            </w:r>
          </w:p>
        </w:tc>
      </w:tr>
    </w:tbl>
    <w:p>
      <w:pPr>
        <w:spacing w:before="80" w:after="80"/>
      </w:pPr>
      <w:r>
        <w:rPr>
          <w:b w:val="0"/>
          <w:i/>
          <w:color w:val="555555"/>
          <w:sz w:val="18"/>
        </w:rPr>
        <w:t>Per-tranche effect: with a 15% investor, each 10% tranche becomes 5% (Simon reaches 25% at full earn-in); with a 10% investor, each tranche becomes ≈6.67% (Simon reaches 30%). The near-miss pro-rata rule (Clause 7) then applies to the REDUCED tranche size. The investor's equity crystallises per the investor agreement; the corresponding reduction is applied to Simon's earn-in tranches from the date that agreement is signed.</w:t>
      </w:r>
    </w:p>
    <w:p>
      <w:r>
        <w:br w:type="page"/>
      </w:r>
    </w:p>
    <w:p>
      <w:pPr>
        <w:spacing w:after="40"/>
        <w:jc w:val="center"/>
      </w:pPr>
      <w:r>
        <w:rPr>
          <w:rFonts w:ascii="Calibri" w:hAnsi="Calibri"/>
          <w:b/>
          <w:color w:val="C9A227"/>
          <w:sz w:val="36"/>
        </w:rPr>
        <w:t>BITWEALTH ASSET MANAGERS (PTY) LTD</w:t>
      </w:r>
    </w:p>
    <w:p>
      <w:pPr>
        <w:spacing w:after="40"/>
        <w:jc w:val="center"/>
      </w:pPr>
      <w:r>
        <w:rPr>
          <w:color w:val="1A1A1A"/>
          <w:sz w:val="22"/>
        </w:rPr>
        <w:t>Part B — Non-Binding Heads of Terms — Business Development Equity Participation (v4)</w:t>
      </w:r>
    </w:p>
    <w:p>
      <w:pPr>
        <w:spacing w:after="200"/>
        <w:jc w:val="center"/>
      </w:pPr>
      <w:r>
        <w:rPr>
          <w:i/>
          <w:color w:val="555555"/>
          <w:sz w:val="18"/>
        </w:rPr>
        <w:t>Date: 11 July 2026  ·  PRIVATE &amp; CONFIDENTIAL  ·  NON-BINDING  ·  SUBJECT TO CONTRACT</w:t>
      </w:r>
    </w:p>
    <w:p>
      <w:pPr>
        <w:spacing w:before="80" w:after="80"/>
        <w:pBdr>
          <w:bottom w:val="single" w:sz="4" w:space="1" w:color="C9A227"/>
        </w:pBdr>
      </w:pPr>
    </w:p>
    <w:p>
      <w:pPr>
        <w:spacing w:before="40" w:after="80"/>
      </w:pPr>
      <w:r>
        <w:rPr>
          <w:b w:val="0"/>
          <w:i w:val="0"/>
          <w:color w:val="1A1A1A"/>
          <w:sz w:val="20"/>
        </w:rPr>
        <w:t>This term sheet sets out the proposed principal terms of an equity participation arrangement between Davin Harald Gaier and Simon Henry Newbold Hobday in respect of BitWealth Asset Managers (Pty) Ltd. It is non-binding, subject to contract, and for discussion purposes only. Final terms will be recorded in a Shareholders' Agreement and Equity Participation Agreement drafted by the Company's attorneys.</w:t>
      </w:r>
    </w:p>
    <w:p>
      <w:pPr>
        <w:spacing w:after="120"/>
      </w:pPr>
      <w:r>
        <w:rPr>
          <w:b/>
          <w:color w:val="1A1A1A"/>
          <w:sz w:val="20"/>
        </w:rPr>
        <w:t xml:space="preserve">Guiding principle — a true partnership.  </w:t>
      </w:r>
      <w:r>
        <w:rPr>
          <w:color w:val="1A1A1A"/>
          <w:sz w:val="20"/>
        </w:rPr>
        <w:t>The Parties intend this arrangement to constitute a genuine equity partnership between co-owners of the business, and NOT an employee share-incentive scheme. Simon's shares (both the founding 10% and any earned tranches) are and remain ordinary shares carrying full ownership, voting and economic rights. Neither Party's shares may be reclassified or recharacterised as incentive-scheme shares, or otherwise expropriated, without that Party's prior written consent (see Clause 10).</w:t>
      </w:r>
    </w:p>
    <w:p>
      <w:r>
        <w:rPr>
          <w:b/>
          <w:color w:val="B71C1C"/>
          <w:sz w:val="18"/>
        </w:rPr>
        <w:t xml:space="preserve">NOT LEGAL ADVICE.  </w:t>
      </w:r>
      <w:r>
        <w:rPr>
          <w:i/>
          <w:color w:val="555555"/>
          <w:sz w:val="18"/>
        </w:rPr>
        <w:t>This document is negotiation support only. It must be reviewed, and the definitive agreements drafted, by a qualified SA attorney, with FAIS input from Finova Capital and independent tax advice for both parties, before signature.</w:t>
      </w:r>
    </w:p>
    <w:p>
      <w:pPr>
        <w:spacing w:before="80" w:after="80"/>
        <w:pBdr>
          <w:bottom w:val="single" w:sz="4" w:space="1" w:color="C9A227"/>
        </w:pBdr>
      </w:pPr>
    </w:p>
    <w:p>
      <w:pPr>
        <w:keepNext/>
        <w:spacing w:before="280" w:after="80"/>
      </w:pPr>
      <w:r>
        <w:rPr>
          <w:rFonts w:ascii="Calibri" w:hAnsi="Calibri"/>
          <w:b/>
          <w:color w:val="C9A227"/>
          <w:sz w:val="28"/>
        </w:rPr>
        <w:t>1.  PARTIES</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Founder</w:t>
            </w:r>
          </w:p>
        </w:tc>
        <w:tc>
          <w:tcPr>
            <w:tcW w:type="dxa" w:w="6633"/>
            <w:shd w:val="clear" w:color="auto" w:fill="F5F5F5"/>
          </w:tcPr>
          <w:p>
            <w:pPr>
              <w:spacing w:before="20" w:after="40"/>
            </w:pPr>
            <w:r/>
            <w:r>
              <w:rPr>
                <w:color w:val="1A1A1A"/>
                <w:sz w:val="20"/>
              </w:rPr>
              <w:t>Davin Harald Gaier, ID 8405025239081, Republic of South Africa ('Davin').</w:t>
            </w:r>
          </w:p>
        </w:tc>
      </w:tr>
      <w:tr>
        <w:tc>
          <w:tcPr>
            <w:tcW w:type="dxa" w:w="2721"/>
            <w:shd w:val="clear" w:color="auto" w:fill="FFFFFF"/>
          </w:tcPr>
          <w:p>
            <w:r/>
            <w:r>
              <w:rPr>
                <w:b/>
                <w:i w:val="0"/>
                <w:color w:val="1A1A1A"/>
                <w:sz w:val="20"/>
              </w:rPr>
              <w:t>Partner</w:t>
            </w:r>
          </w:p>
        </w:tc>
        <w:tc>
          <w:tcPr>
            <w:tcW w:type="dxa" w:w="6633"/>
            <w:shd w:val="clear" w:color="auto" w:fill="FFFFFF"/>
          </w:tcPr>
          <w:p>
            <w:pPr>
              <w:spacing w:before="20" w:after="40"/>
            </w:pPr>
            <w:r/>
            <w:r>
              <w:rPr>
                <w:color w:val="1A1A1A"/>
                <w:sz w:val="20"/>
              </w:rPr>
              <w:t>Simon Henry Newbold Hobday, ID 6806175080088, Republic of South Africa ('Simon').</w:t>
            </w:r>
          </w:p>
        </w:tc>
      </w:tr>
      <w:tr>
        <w:tc>
          <w:tcPr>
            <w:tcW w:type="dxa" w:w="2721"/>
            <w:shd w:val="clear" w:color="auto" w:fill="F5F5F5"/>
          </w:tcPr>
          <w:p>
            <w:r/>
            <w:r>
              <w:rPr>
                <w:b/>
                <w:i w:val="0"/>
                <w:color w:val="1A1A1A"/>
                <w:sz w:val="20"/>
              </w:rPr>
              <w:t>Company</w:t>
            </w:r>
          </w:p>
        </w:tc>
        <w:tc>
          <w:tcPr>
            <w:tcW w:type="dxa" w:w="6633"/>
            <w:shd w:val="clear" w:color="auto" w:fill="F5F5F5"/>
          </w:tcPr>
          <w:p>
            <w:pPr>
              <w:spacing w:before="20" w:after="40"/>
            </w:pPr>
            <w:r/>
            <w:r>
              <w:rPr>
                <w:color w:val="1A1A1A"/>
                <w:sz w:val="20"/>
              </w:rPr>
              <w:t>BitWealth Asset Managers (Pty) Ltd (Registration No. 2026 / 090346 / 07), a private company incorporated in the Republic of South Africa.</w:t>
            </w:r>
          </w:p>
        </w:tc>
      </w:tr>
      <w:tr>
        <w:tc>
          <w:tcPr>
            <w:tcW w:type="dxa" w:w="2721"/>
            <w:shd w:val="clear" w:color="auto" w:fill="FFFFFF"/>
          </w:tcPr>
          <w:p>
            <w:r/>
            <w:r>
              <w:rPr>
                <w:b/>
                <w:i w:val="0"/>
                <w:color w:val="1A1A1A"/>
                <w:sz w:val="20"/>
              </w:rPr>
              <w:t>FSP</w:t>
            </w:r>
          </w:p>
        </w:tc>
        <w:tc>
          <w:tcPr>
            <w:tcW w:type="dxa" w:w="6633"/>
            <w:shd w:val="clear" w:color="auto" w:fill="FFFFFF"/>
          </w:tcPr>
          <w:p>
            <w:pPr>
              <w:spacing w:before="20" w:after="40"/>
            </w:pPr>
            <w:r/>
            <w:r>
              <w:rPr>
                <w:color w:val="1A1A1A"/>
                <w:sz w:val="20"/>
              </w:rPr>
              <w:t>Finova Capital (Pty) Ltd (FSP No. 21095) — BitWealth to be appointed a Juristic Representative under Finova's FSP licence in terms of the FAIS Act, 2002.</w:t>
            </w:r>
          </w:p>
        </w:tc>
      </w:tr>
    </w:tbl>
    <w:p>
      <w:pPr>
        <w:spacing w:after="80"/>
      </w:pPr>
    </w:p>
    <w:p>
      <w:pPr>
        <w:keepNext/>
        <w:spacing w:before="280" w:after="80"/>
      </w:pPr>
      <w:r>
        <w:rPr>
          <w:rFonts w:ascii="Calibri" w:hAnsi="Calibri"/>
          <w:b/>
          <w:color w:val="C9A227"/>
          <w:sz w:val="28"/>
        </w:rPr>
        <w:t>2.  COMPANY &amp; IP FOUNDATION</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Business</w:t>
            </w:r>
          </w:p>
        </w:tc>
        <w:tc>
          <w:tcPr>
            <w:tcW w:type="dxa" w:w="6633"/>
            <w:shd w:val="clear" w:color="auto" w:fill="F5F5F5"/>
          </w:tcPr>
          <w:p>
            <w:pPr>
              <w:spacing w:before="20" w:after="40"/>
            </w:pPr>
            <w:r/>
            <w:r>
              <w:rPr>
                <w:color w:val="1A1A1A"/>
                <w:sz w:val="20"/>
              </w:rPr>
              <w:t>Bitcoin DCA investment management for retail and HNWI clients, using the Company's proprietary LTH PVR algorithm. The algorithm is currently executed via the VALR exchange (South Africa) and is designed to be extended to additional exchanges globally, to serve clients in other jurisdictions and to accommodate different exchange, custody, and currency preferences.</w:t>
            </w:r>
          </w:p>
        </w:tc>
      </w:tr>
      <w:tr>
        <w:tc>
          <w:tcPr>
            <w:tcW w:type="dxa" w:w="2721"/>
            <w:shd w:val="clear" w:color="auto" w:fill="FFFFFF"/>
          </w:tcPr>
          <w:p>
            <w:r/>
            <w:r>
              <w:rPr>
                <w:b/>
                <w:i w:val="0"/>
                <w:color w:val="1A1A1A"/>
                <w:sz w:val="20"/>
              </w:rPr>
              <w:t>IP Asset</w:t>
            </w:r>
          </w:p>
        </w:tc>
        <w:tc>
          <w:tcPr>
            <w:tcW w:type="dxa" w:w="6633"/>
            <w:shd w:val="clear" w:color="auto" w:fill="FFFFFF"/>
          </w:tcPr>
          <w:p>
            <w:pPr>
              <w:spacing w:before="20" w:after="40"/>
            </w:pPr>
            <w:r/>
            <w:r>
              <w:rPr>
                <w:color w:val="1A1A1A"/>
                <w:sz w:val="20"/>
              </w:rPr>
              <w:t>The BitWealth LTH PVR platform, transferred to the Company by Davin Harald Gaier under a signed IP Transfer Agreement; recorded on the balance sheet at an agreed value of R2,500,000.</w:t>
            </w:r>
          </w:p>
        </w:tc>
      </w:tr>
      <w:tr>
        <w:tc>
          <w:tcPr>
            <w:tcW w:type="dxa" w:w="2721"/>
            <w:shd w:val="clear" w:color="auto" w:fill="F5F5F5"/>
          </w:tcPr>
          <w:p>
            <w:r/>
            <w:r>
              <w:rPr>
                <w:b/>
                <w:i w:val="0"/>
                <w:color w:val="1A1A1A"/>
                <w:sz w:val="20"/>
              </w:rPr>
              <w:t>IP Evidence Pack</w:t>
            </w:r>
          </w:p>
        </w:tc>
        <w:tc>
          <w:tcPr>
            <w:tcW w:type="dxa" w:w="6633"/>
            <w:shd w:val="clear" w:color="auto" w:fill="F5F5F5"/>
          </w:tcPr>
          <w:p>
            <w:pPr>
              <w:spacing w:before="20" w:after="40"/>
            </w:pPr>
            <w:r/>
            <w:r>
              <w:rPr>
                <w:color w:val="1A1A1A"/>
                <w:sz w:val="20"/>
              </w:rPr>
              <w:t>Before signing, the Company will make available:</w:t>
            </w:r>
          </w:p>
          <w:p>
            <w:pPr>
              <w:spacing w:before="20" w:after="40"/>
            </w:pPr>
            <w:r>
              <w:rPr>
                <w:b/>
                <w:color w:val="1A1A1A"/>
                <w:sz w:val="20"/>
              </w:rPr>
              <w:t>(a) the executed IP Transfer Agreement;</w:t>
            </w:r>
          </w:p>
          <w:p>
            <w:pPr>
              <w:spacing w:before="20" w:after="40"/>
            </w:pPr>
            <w:r>
              <w:rPr>
                <w:b/>
                <w:color w:val="1A1A1A"/>
                <w:sz w:val="20"/>
              </w:rPr>
              <w:t>(b) developer / contractor IP-assignment confirmations;</w:t>
            </w:r>
          </w:p>
          <w:p>
            <w:pPr>
              <w:spacing w:before="20" w:after="40"/>
            </w:pPr>
            <w:r>
              <w:rPr>
                <w:b/>
                <w:color w:val="1A1A1A"/>
                <w:sz w:val="20"/>
              </w:rPr>
              <w:t>(c) a list of third-party and open-source dependencies and their licences;</w:t>
            </w:r>
          </w:p>
          <w:p>
            <w:pPr>
              <w:spacing w:before="20" w:after="40"/>
            </w:pPr>
            <w:r>
              <w:rPr>
                <w:b/>
                <w:color w:val="1A1A1A"/>
                <w:sz w:val="20"/>
              </w:rPr>
              <w:t>(d) a warranty of title and no known competing claims.</w:t>
            </w:r>
          </w:p>
        </w:tc>
      </w:tr>
      <w:tr>
        <w:tc>
          <w:tcPr>
            <w:tcW w:type="dxa" w:w="2721"/>
            <w:shd w:val="clear" w:color="auto" w:fill="FFFFFF"/>
          </w:tcPr>
          <w:p>
            <w:r/>
            <w:r>
              <w:rPr>
                <w:b/>
                <w:i w:val="0"/>
                <w:color w:val="1A1A1A"/>
                <w:sz w:val="20"/>
              </w:rPr>
              <w:t>Valuation Basis</w:t>
            </w:r>
          </w:p>
        </w:tc>
        <w:tc>
          <w:tcPr>
            <w:tcW w:type="dxa" w:w="6633"/>
            <w:shd w:val="clear" w:color="auto" w:fill="FFFFFF"/>
          </w:tcPr>
          <w:p>
            <w:pPr>
              <w:spacing w:before="20" w:after="40"/>
            </w:pPr>
            <w:r/>
            <w:r>
              <w:rPr>
                <w:color w:val="1A1A1A"/>
                <w:sz w:val="20"/>
              </w:rPr>
              <w:t>R2,500,000 is the agreed commercial consideration, not an independent valuation. Davin warrants ownership and title, not market value. Simon may commission an independent valuation at his own cost.</w:t>
            </w:r>
          </w:p>
        </w:tc>
      </w:tr>
      <w:tr>
        <w:tc>
          <w:tcPr>
            <w:tcW w:type="dxa" w:w="2721"/>
            <w:shd w:val="clear" w:color="auto" w:fill="F5F5F5"/>
          </w:tcPr>
          <w:p>
            <w:r/>
            <w:r>
              <w:rPr>
                <w:b/>
                <w:i w:val="0"/>
                <w:color w:val="1A1A1A"/>
                <w:sz w:val="20"/>
              </w:rPr>
              <w:t>Share Capital</w:t>
            </w:r>
          </w:p>
        </w:tc>
        <w:tc>
          <w:tcPr>
            <w:tcW w:type="dxa" w:w="6633"/>
            <w:shd w:val="clear" w:color="auto" w:fill="F5F5F5"/>
          </w:tcPr>
          <w:p>
            <w:pPr>
              <w:spacing w:before="20" w:after="40"/>
            </w:pPr>
            <w:r/>
            <w:r>
              <w:rPr>
                <w:color w:val="1A1A1A"/>
                <w:sz w:val="20"/>
              </w:rPr>
              <w:t>1,000 ordinary shares of R1.00 par value in issue, all with equal voting, dividend, and liquidation rights. Davin currently holds all 1,000 shares.</w:t>
            </w:r>
          </w:p>
        </w:tc>
      </w:tr>
      <w:tr>
        <w:tc>
          <w:tcPr>
            <w:tcW w:type="dxa" w:w="2721"/>
            <w:shd w:val="clear" w:color="auto" w:fill="FFFFFF"/>
          </w:tcPr>
          <w:p>
            <w:r/>
            <w:r>
              <w:rPr>
                <w:b/>
                <w:i w:val="0"/>
                <w:color w:val="1A1A1A"/>
                <w:sz w:val="20"/>
              </w:rPr>
              <w:t>IP Access on Signing</w:t>
            </w:r>
          </w:p>
        </w:tc>
        <w:tc>
          <w:tcPr>
            <w:tcW w:type="dxa" w:w="6633"/>
            <w:shd w:val="clear" w:color="auto" w:fill="FFFFFF"/>
          </w:tcPr>
          <w:p>
            <w:pPr>
              <w:spacing w:before="20" w:after="40"/>
            </w:pPr>
            <w:r/>
            <w:r>
              <w:rPr>
                <w:color w:val="1A1A1A"/>
                <w:sz w:val="20"/>
              </w:rPr>
              <w:t>Upon signature of the Shareholders' Agreement, Davin shall provide Simon with full access to all intellectual property, systems and credentials used to operate the Company, including: source code and repositories; the email and web-hosting environment; the production database; the Research Bitcoin data feed/account; the Administration UI; the VALR exchange API and sub-account administration; and all related logins and documentation. Such access shall be maintained for the duration of Simon's shareholding. This ensures Simon is not dependent on Davin to operate the business.</w:t>
            </w:r>
          </w:p>
        </w:tc>
      </w:tr>
      <w:tr>
        <w:tc>
          <w:tcPr>
            <w:tcW w:type="dxa" w:w="2721"/>
            <w:shd w:val="clear" w:color="auto" w:fill="F5F5F5"/>
          </w:tcPr>
          <w:p>
            <w:r/>
            <w:r>
              <w:rPr>
                <w:b/>
                <w:i w:val="0"/>
                <w:color w:val="1A1A1A"/>
                <w:sz w:val="20"/>
              </w:rPr>
              <w:t>Business Continuity / Key Man</w:t>
            </w:r>
          </w:p>
        </w:tc>
        <w:tc>
          <w:tcPr>
            <w:tcW w:type="dxa" w:w="6633"/>
            <w:shd w:val="clear" w:color="auto" w:fill="F5F5F5"/>
          </w:tcPr>
          <w:p>
            <w:pPr>
              <w:spacing w:before="20" w:after="40"/>
            </w:pPr>
            <w:r/>
            <w:r>
              <w:rPr>
                <w:color w:val="1A1A1A"/>
                <w:sz w:val="20"/>
              </w:rPr>
              <w:t>To protect the business should Davin become unavailable (death, incapacity or extended absence), the Parties will explore and implement appropriate continuity measures, including: a technical shadow or second engineer familiar with the system; key-man life and disability insurance; documented operational runbooks; secure credential vaulting with emergency ('break-glass') access for Simon; source-code escrow; and regular data backups and disaster recovery.</w:t>
            </w:r>
          </w:p>
        </w:tc>
      </w:tr>
      <w:tr>
        <w:tc>
          <w:tcPr>
            <w:tcW w:type="dxa" w:w="2721"/>
            <w:shd w:val="clear" w:color="auto" w:fill="FFFFFF"/>
          </w:tcPr>
          <w:p>
            <w:r/>
            <w:r>
              <w:rPr>
                <w:b/>
                <w:i w:val="0"/>
                <w:color w:val="1A1A1A"/>
                <w:sz w:val="20"/>
              </w:rPr>
              <w:t>IP Protection / Patent</w:t>
            </w:r>
          </w:p>
        </w:tc>
        <w:tc>
          <w:tcPr>
            <w:tcW w:type="dxa" w:w="6633"/>
            <w:shd w:val="clear" w:color="auto" w:fill="FFFFFF"/>
          </w:tcPr>
          <w:p>
            <w:pPr>
              <w:spacing w:before="20" w:after="40"/>
            </w:pPr>
            <w:r/>
            <w:r>
              <w:rPr>
                <w:color w:val="1A1A1A"/>
                <w:sz w:val="20"/>
              </w:rPr>
              <w:t>The Parties will jointly investigate additional protection for the LTH PVR strategy and platform, which may include trade-secret protection, copyright in the source code, trade-mark registration of the branding, and (subject to advice from a patent attorney) the feasibility of patent protection. The Parties acknowledge that trading strategies and software 'as such' may not be patentable in all jurisdictions and that trade-secret protection is often preferable for a proprietary trading strategy.</w:t>
            </w:r>
          </w:p>
        </w:tc>
      </w:tr>
    </w:tbl>
    <w:p>
      <w:pPr>
        <w:spacing w:after="80"/>
      </w:pPr>
    </w:p>
    <w:p>
      <w:pPr>
        <w:keepNext/>
        <w:spacing w:before="280" w:after="80"/>
      </w:pPr>
      <w:r>
        <w:rPr>
          <w:rFonts w:ascii="Calibri" w:hAnsi="Calibri"/>
          <w:b/>
          <w:color w:val="C9A227"/>
          <w:sz w:val="28"/>
        </w:rPr>
        <w:t>3.  SIMON'S ROLE &amp; CONTRIBUTION</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Role</w:t>
            </w:r>
          </w:p>
        </w:tc>
        <w:tc>
          <w:tcPr>
            <w:tcW w:type="dxa" w:w="6633"/>
            <w:shd w:val="clear" w:color="auto" w:fill="F5F5F5"/>
          </w:tcPr>
          <w:p>
            <w:pPr>
              <w:spacing w:before="20" w:after="40"/>
            </w:pPr>
            <w:r/>
            <w:r>
              <w:rPr>
                <w:color w:val="1A1A1A"/>
                <w:sz w:val="20"/>
              </w:rPr>
              <w:t>Non-executive Head of Business Development (consulting engagement), with defined quarterly client-acquisition deliverables agreed by the Board.</w:t>
            </w:r>
          </w:p>
        </w:tc>
      </w:tr>
      <w:tr>
        <w:tc>
          <w:tcPr>
            <w:tcW w:type="dxa" w:w="2721"/>
            <w:shd w:val="clear" w:color="auto" w:fill="FFFFFF"/>
          </w:tcPr>
          <w:p>
            <w:r/>
            <w:r>
              <w:rPr>
                <w:b/>
                <w:i w:val="0"/>
                <w:color w:val="1A1A1A"/>
                <w:sz w:val="20"/>
              </w:rPr>
              <w:t>Capital</w:t>
            </w:r>
          </w:p>
        </w:tc>
        <w:tc>
          <w:tcPr>
            <w:tcW w:type="dxa" w:w="6633"/>
            <w:shd w:val="clear" w:color="auto" w:fill="FFFFFF"/>
          </w:tcPr>
          <w:p>
            <w:pPr>
              <w:spacing w:before="20" w:after="40"/>
            </w:pPr>
            <w:r/>
            <w:r>
              <w:rPr>
                <w:color w:val="1A1A1A"/>
                <w:sz w:val="20"/>
              </w:rPr>
              <w:t>NIL — Simon contributes no monetary capital. His additional equity is earned solely through the AUM milestones in Clause 6.</w:t>
            </w:r>
          </w:p>
        </w:tc>
      </w:tr>
      <w:tr>
        <w:tc>
          <w:tcPr>
            <w:tcW w:type="dxa" w:w="2721"/>
            <w:shd w:val="clear" w:color="auto" w:fill="F5F5F5"/>
          </w:tcPr>
          <w:p>
            <w:r/>
            <w:r>
              <w:rPr>
                <w:b/>
                <w:i w:val="0"/>
                <w:color w:val="1A1A1A"/>
                <w:sz w:val="20"/>
              </w:rPr>
              <w:t>Responsibilities</w:t>
            </w:r>
          </w:p>
        </w:tc>
        <w:tc>
          <w:tcPr>
            <w:tcW w:type="dxa" w:w="6633"/>
            <w:shd w:val="clear" w:color="auto" w:fill="F5F5F5"/>
          </w:tcPr>
          <w:p>
            <w:pPr>
              <w:spacing w:before="20" w:after="40"/>
            </w:pPr>
            <w:r/>
            <w:r>
              <w:rPr>
                <w:b/>
                <w:color w:val="1A1A1A"/>
                <w:sz w:val="20"/>
              </w:rPr>
              <w:t>(a) Origination and onboarding of new clients;</w:t>
            </w:r>
          </w:p>
          <w:p>
            <w:pPr>
              <w:spacing w:before="20" w:after="40"/>
            </w:pPr>
            <w:r>
              <w:rPr>
                <w:b/>
                <w:color w:val="1A1A1A"/>
                <w:sz w:val="20"/>
              </w:rPr>
              <w:t>(b) management and growth of client relationships;</w:t>
            </w:r>
          </w:p>
          <w:p>
            <w:pPr>
              <w:spacing w:before="20" w:after="40"/>
            </w:pPr>
            <w:r>
              <w:rPr>
                <w:b/>
                <w:color w:val="1A1A1A"/>
                <w:sz w:val="20"/>
              </w:rPr>
              <w:t>(c) achievement of the AUM milestones;</w:t>
            </w:r>
          </w:p>
          <w:p>
            <w:pPr>
              <w:spacing w:before="20" w:after="40"/>
            </w:pPr>
            <w:r>
              <w:rPr>
                <w:b/>
                <w:color w:val="1A1A1A"/>
                <w:sz w:val="20"/>
              </w:rPr>
              <w:t>(d) other business-development activities agreed by the Board.</w:t>
            </w:r>
          </w:p>
        </w:tc>
      </w:tr>
      <w:tr>
        <w:tc>
          <w:tcPr>
            <w:tcW w:type="dxa" w:w="2721"/>
            <w:shd w:val="clear" w:color="auto" w:fill="FFFFFF"/>
          </w:tcPr>
          <w:p>
            <w:r/>
            <w:r>
              <w:rPr>
                <w:b/>
                <w:i w:val="0"/>
                <w:color w:val="1A1A1A"/>
                <w:sz w:val="20"/>
              </w:rPr>
              <w:t>Support &amp; Budget</w:t>
            </w:r>
          </w:p>
        </w:tc>
        <w:tc>
          <w:tcPr>
            <w:tcW w:type="dxa" w:w="6633"/>
            <w:shd w:val="clear" w:color="auto" w:fill="FFFFFF"/>
          </w:tcPr>
          <w:p>
            <w:pPr>
              <w:spacing w:before="20" w:after="40"/>
            </w:pPr>
            <w:r/>
            <w:r>
              <w:rPr>
                <w:color w:val="1A1A1A"/>
                <w:sz w:val="20"/>
              </w:rPr>
              <w:t>The Company will provide reasonable sales, marketing, and compliance/admin support and an annual marketing budget approved by the Board. Obligations on both sides are defined, not open-ended.</w:t>
            </w:r>
          </w:p>
        </w:tc>
      </w:tr>
      <w:tr>
        <w:tc>
          <w:tcPr>
            <w:tcW w:type="dxa" w:w="2721"/>
            <w:shd w:val="clear" w:color="auto" w:fill="F5F5F5"/>
          </w:tcPr>
          <w:p>
            <w:r/>
            <w:r>
              <w:rPr>
                <w:b/>
                <w:i w:val="0"/>
                <w:color w:val="1A1A1A"/>
                <w:sz w:val="20"/>
              </w:rPr>
              <w:t>Time Commitment</w:t>
            </w:r>
          </w:p>
        </w:tc>
        <w:tc>
          <w:tcPr>
            <w:tcW w:type="dxa" w:w="6633"/>
            <w:shd w:val="clear" w:color="auto" w:fill="F5F5F5"/>
          </w:tcPr>
          <w:p>
            <w:pPr>
              <w:spacing w:before="20" w:after="40"/>
            </w:pPr>
            <w:r/>
            <w:r>
              <w:rPr>
                <w:color w:val="1A1A1A"/>
                <w:sz w:val="20"/>
              </w:rPr>
              <w:t>No minimum time commitment is required. Simon's focus is solely the achievement of the AUM milestones. Once the Company is sufficiently profitable, the parties may explore formal employment options that include a defined time commitment.</w:t>
            </w:r>
          </w:p>
        </w:tc>
      </w:tr>
      <w:tr>
        <w:tc>
          <w:tcPr>
            <w:tcW w:type="dxa" w:w="2721"/>
            <w:shd w:val="clear" w:color="auto" w:fill="FFFFFF"/>
          </w:tcPr>
          <w:p>
            <w:r/>
            <w:r>
              <w:rPr>
                <w:b/>
                <w:i w:val="0"/>
                <w:color w:val="1A1A1A"/>
                <w:sz w:val="20"/>
              </w:rPr>
              <w:t>FAIS Accreditation</w:t>
            </w:r>
          </w:p>
        </w:tc>
        <w:tc>
          <w:tcPr>
            <w:tcW w:type="dxa" w:w="6633"/>
            <w:shd w:val="clear" w:color="auto" w:fill="FFFFFF"/>
          </w:tcPr>
          <w:p>
            <w:pPr>
              <w:spacing w:before="20" w:after="40"/>
            </w:pPr>
            <w:r/>
            <w:r>
              <w:rPr>
                <w:color w:val="1A1A1A"/>
                <w:sz w:val="20"/>
              </w:rPr>
              <w:t>Simon will use reasonable endeavours to obtain and maintain the FAIS accreditation required for his role. Delays caused by the FSCA, Finova, paperwork, or the Company are excluded. Only a wilful or negligent failure by Simon constitutes a breach.</w:t>
            </w:r>
          </w:p>
        </w:tc>
      </w:tr>
    </w:tbl>
    <w:p>
      <w:pPr>
        <w:spacing w:after="80"/>
      </w:pPr>
    </w:p>
    <w:p>
      <w:pPr>
        <w:keepNext/>
        <w:spacing w:before="280" w:after="80"/>
      </w:pPr>
      <w:r>
        <w:rPr>
          <w:rFonts w:ascii="Calibri" w:hAnsi="Calibri"/>
          <w:b/>
          <w:color w:val="C9A227"/>
          <w:sz w:val="28"/>
        </w:rPr>
        <w:t>4.  INTRODUCED CLIENT REGISTER</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Register</w:t>
            </w:r>
          </w:p>
        </w:tc>
        <w:tc>
          <w:tcPr>
            <w:tcW w:type="dxa" w:w="6633"/>
            <w:shd w:val="clear" w:color="auto" w:fill="F5F5F5"/>
          </w:tcPr>
          <w:p>
            <w:pPr>
              <w:spacing w:before="20" w:after="40"/>
            </w:pPr>
            <w:r/>
            <w:r>
              <w:rPr>
                <w:color w:val="1A1A1A"/>
                <w:sz w:val="20"/>
              </w:rPr>
              <w:t>The Company maintains an 'Introduced Client Register'. Each client Simon introduces is logged within 5 business days of first meaningful contact.</w:t>
            </w:r>
          </w:p>
        </w:tc>
      </w:tr>
      <w:tr>
        <w:tc>
          <w:tcPr>
            <w:tcW w:type="dxa" w:w="2721"/>
            <w:shd w:val="clear" w:color="auto" w:fill="FFFFFF"/>
          </w:tcPr>
          <w:p>
            <w:r/>
            <w:r>
              <w:rPr>
                <w:b/>
                <w:i w:val="0"/>
                <w:color w:val="1A1A1A"/>
                <w:sz w:val="20"/>
              </w:rPr>
              <w:t>Definition</w:t>
            </w:r>
          </w:p>
        </w:tc>
        <w:tc>
          <w:tcPr>
            <w:tcW w:type="dxa" w:w="6633"/>
            <w:shd w:val="clear" w:color="auto" w:fill="FFFFFF"/>
          </w:tcPr>
          <w:p>
            <w:pPr>
              <w:spacing w:before="20" w:after="40"/>
            </w:pPr>
            <w:r/>
            <w:r>
              <w:rPr>
                <w:color w:val="1A1A1A"/>
                <w:sz w:val="20"/>
              </w:rPr>
              <w:t>An 'Introduced Client' is one where Simon makes the first meaningful contact and who is not already in the Company's active pipeline. Each client is credited once. Disputed entries are resolved by the Board acting reasonably, failing which by independent expert.</w:t>
            </w:r>
          </w:p>
        </w:tc>
      </w:tr>
      <w:tr>
        <w:tc>
          <w:tcPr>
            <w:tcW w:type="dxa" w:w="2721"/>
            <w:shd w:val="clear" w:color="auto" w:fill="F5F5F5"/>
          </w:tcPr>
          <w:p>
            <w:r/>
            <w:r>
              <w:rPr>
                <w:b/>
                <w:i w:val="0"/>
                <w:color w:val="1A1A1A"/>
                <w:sz w:val="20"/>
              </w:rPr>
              <w:t>Conversion Tail</w:t>
            </w:r>
          </w:p>
        </w:tc>
        <w:tc>
          <w:tcPr>
            <w:tcW w:type="dxa" w:w="6633"/>
            <w:shd w:val="clear" w:color="auto" w:fill="F5F5F5"/>
          </w:tcPr>
          <w:p>
            <w:pPr>
              <w:spacing w:before="20" w:after="40"/>
            </w:pPr>
            <w:r/>
            <w:r>
              <w:rPr>
                <w:color w:val="1A1A1A"/>
                <w:sz w:val="20"/>
              </w:rPr>
              <w:t>An Introduced Client who converts within 18 months of introduction, or within 12 months of Simon's exit, counts toward milestones and any applicable revenue share (Clause 8).</w:t>
            </w:r>
          </w:p>
        </w:tc>
      </w:tr>
    </w:tbl>
    <w:p>
      <w:pPr>
        <w:spacing w:after="80"/>
      </w:pPr>
    </w:p>
    <w:p>
      <w:pPr>
        <w:keepNext/>
        <w:spacing w:before="280" w:after="80"/>
      </w:pPr>
      <w:r>
        <w:rPr>
          <w:rFonts w:ascii="Calibri" w:hAnsi="Calibri"/>
          <w:b/>
          <w:color w:val="C9A227"/>
          <w:sz w:val="28"/>
        </w:rPr>
        <w:t>5.  FOUNDING EQUITY GRANT (INITIAL 10%)</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Grant</w:t>
            </w:r>
          </w:p>
        </w:tc>
        <w:tc>
          <w:tcPr>
            <w:tcW w:type="dxa" w:w="6633"/>
            <w:shd w:val="clear" w:color="auto" w:fill="F5F5F5"/>
          </w:tcPr>
          <w:p>
            <w:pPr>
              <w:spacing w:before="20" w:after="40"/>
            </w:pPr>
            <w:r/>
            <w:r>
              <w:rPr>
                <w:color w:val="1A1A1A"/>
                <w:sz w:val="20"/>
              </w:rPr>
              <w:t>On signing, Davin transfers 100 ordinary shares (10%) to Simon for nil consideration. No performance condition attaches to the founding 10%.</w:t>
            </w:r>
          </w:p>
        </w:tc>
      </w:tr>
      <w:tr>
        <w:tc>
          <w:tcPr>
            <w:tcW w:type="dxa" w:w="2721"/>
            <w:shd w:val="clear" w:color="auto" w:fill="FFFFFF"/>
          </w:tcPr>
          <w:p>
            <w:r/>
            <w:r>
              <w:rPr>
                <w:b/>
                <w:i w:val="0"/>
                <w:color w:val="1A1A1A"/>
                <w:sz w:val="20"/>
              </w:rPr>
              <w:t>Notional Value</w:t>
            </w:r>
          </w:p>
        </w:tc>
        <w:tc>
          <w:tcPr>
            <w:tcW w:type="dxa" w:w="6633"/>
            <w:shd w:val="clear" w:color="auto" w:fill="FFFFFF"/>
          </w:tcPr>
          <w:p>
            <w:pPr>
              <w:spacing w:before="20" w:after="40"/>
            </w:pPr>
            <w:r/>
            <w:r>
              <w:rPr>
                <w:color w:val="1A1A1A"/>
                <w:sz w:val="20"/>
              </w:rPr>
              <w:t>At the IP-implied price of R2,500 per share, the notional value is R250,000. This is not a guaranteed or market valuation.</w:t>
            </w:r>
          </w:p>
        </w:tc>
      </w:tr>
      <w:tr>
        <w:tc>
          <w:tcPr>
            <w:tcW w:type="dxa" w:w="2721"/>
            <w:shd w:val="clear" w:color="auto" w:fill="F5F5F5"/>
          </w:tcPr>
          <w:p>
            <w:r/>
            <w:r>
              <w:rPr>
                <w:b/>
                <w:i w:val="0"/>
                <w:color w:val="1A1A1A"/>
                <w:sz w:val="20"/>
              </w:rPr>
              <w:t>Tax Advice</w:t>
            </w:r>
          </w:p>
        </w:tc>
        <w:tc>
          <w:tcPr>
            <w:tcW w:type="dxa" w:w="6633"/>
            <w:shd w:val="clear" w:color="auto" w:fill="F5F5F5"/>
          </w:tcPr>
          <w:p>
            <w:pPr>
              <w:spacing w:before="20" w:after="40"/>
            </w:pPr>
            <w:r/>
            <w:r>
              <w:rPr>
                <w:color w:val="1A1A1A"/>
                <w:sz w:val="20"/>
              </w:rPr>
              <w:t>Both parties will obtain independent tax advice before any nil- or below-value transfer, acknowledging potential income-tax, CGT, and donations-tax consequences of sweat equity, to be cleared first.</w:t>
            </w:r>
          </w:p>
        </w:tc>
      </w:tr>
      <w:tr>
        <w:tc>
          <w:tcPr>
            <w:tcW w:type="dxa" w:w="2721"/>
            <w:shd w:val="clear" w:color="auto" w:fill="FFFFFF"/>
          </w:tcPr>
          <w:p>
            <w:r/>
            <w:r>
              <w:rPr>
                <w:b/>
                <w:i w:val="0"/>
                <w:color w:val="1A1A1A"/>
                <w:sz w:val="20"/>
              </w:rPr>
              <w:t>Effective Date</w:t>
            </w:r>
          </w:p>
        </w:tc>
        <w:tc>
          <w:tcPr>
            <w:tcW w:type="dxa" w:w="6633"/>
            <w:shd w:val="clear" w:color="auto" w:fill="FFFFFF"/>
          </w:tcPr>
          <w:p>
            <w:pPr>
              <w:spacing w:before="20" w:after="40"/>
            </w:pPr>
            <w:r/>
            <w:r>
              <w:rPr>
                <w:color w:val="1A1A1A"/>
                <w:sz w:val="20"/>
              </w:rPr>
              <w:t>Within 5 business days of signature of the Shareholders' Agreement.</w:t>
            </w:r>
          </w:p>
        </w:tc>
      </w:tr>
    </w:tbl>
    <w:p>
      <w:pPr>
        <w:spacing w:after="80"/>
      </w:pPr>
    </w:p>
    <w:p>
      <w:pPr>
        <w:keepNext/>
        <w:spacing w:before="280" w:after="80"/>
      </w:pPr>
      <w:r>
        <w:rPr>
          <w:rFonts w:ascii="Calibri" w:hAnsi="Calibri"/>
          <w:b/>
          <w:color w:val="C9A227"/>
          <w:sz w:val="28"/>
        </w:rPr>
        <w:t>6.  EARN-IN MILESTONES (ADDITIONAL 30%)</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Mechanism</w:t>
            </w:r>
          </w:p>
        </w:tc>
        <w:tc>
          <w:tcPr>
            <w:tcW w:type="dxa" w:w="6633"/>
            <w:shd w:val="clear" w:color="auto" w:fill="F5F5F5"/>
          </w:tcPr>
          <w:p>
            <w:pPr>
              <w:spacing w:before="20" w:after="40"/>
            </w:pPr>
            <w:r/>
            <w:r>
              <w:rPr>
                <w:color w:val="1A1A1A"/>
                <w:sz w:val="20"/>
              </w:rPr>
              <w:t>Simon may earn up to a further 30% in three equal 10% tranches (100 shares each), each a transfer of existing shares from Davin. No new shares are issued.</w:t>
            </w:r>
          </w:p>
        </w:tc>
      </w:tr>
      <w:tr>
        <w:tc>
          <w:tcPr>
            <w:tcW w:type="dxa" w:w="2721"/>
            <w:shd w:val="clear" w:color="auto" w:fill="FFFFFF"/>
          </w:tcPr>
          <w:p>
            <w:r/>
            <w:r>
              <w:rPr>
                <w:b/>
                <w:i w:val="0"/>
                <w:color w:val="1A1A1A"/>
                <w:sz w:val="20"/>
              </w:rPr>
              <w:t>Tranche 1</w:t>
            </w:r>
          </w:p>
        </w:tc>
        <w:tc>
          <w:tcPr>
            <w:tcW w:type="dxa" w:w="6633"/>
            <w:shd w:val="clear" w:color="auto" w:fill="FFFFFF"/>
          </w:tcPr>
          <w:p>
            <w:pPr>
              <w:spacing w:before="20" w:after="40"/>
            </w:pPr>
            <w:r/>
            <w:r>
              <w:rPr>
                <w:color w:val="1A1A1A"/>
                <w:sz w:val="20"/>
              </w:rPr>
              <w:t>10% on verified total AUM of R50,000,000 or more.</w:t>
            </w:r>
          </w:p>
          <w:p>
            <w:pPr>
              <w:spacing w:before="20" w:after="40"/>
            </w:pPr>
            <w:r>
              <w:rPr>
                <w:color w:val="1A1A1A"/>
                <w:sz w:val="20"/>
              </w:rPr>
              <w:t>Deadline: 24 months from the Commencement Date (~July 2028).</w:t>
            </w:r>
          </w:p>
        </w:tc>
      </w:tr>
      <w:tr>
        <w:tc>
          <w:tcPr>
            <w:tcW w:type="dxa" w:w="2721"/>
            <w:shd w:val="clear" w:color="auto" w:fill="F5F5F5"/>
          </w:tcPr>
          <w:p>
            <w:r/>
            <w:r>
              <w:rPr>
                <w:b/>
                <w:i w:val="0"/>
                <w:color w:val="1A1A1A"/>
                <w:sz w:val="20"/>
              </w:rPr>
              <w:t>Tranche 2</w:t>
            </w:r>
          </w:p>
        </w:tc>
        <w:tc>
          <w:tcPr>
            <w:tcW w:type="dxa" w:w="6633"/>
            <w:shd w:val="clear" w:color="auto" w:fill="F5F5F5"/>
          </w:tcPr>
          <w:p>
            <w:pPr>
              <w:spacing w:before="20" w:after="40"/>
            </w:pPr>
            <w:r/>
            <w:r>
              <w:rPr>
                <w:color w:val="1A1A1A"/>
                <w:sz w:val="20"/>
              </w:rPr>
              <w:t>10% on verified total AUM of R100,000,000 or more.</w:t>
            </w:r>
          </w:p>
          <w:p>
            <w:pPr>
              <w:spacing w:before="20" w:after="40"/>
            </w:pPr>
            <w:r>
              <w:rPr>
                <w:color w:val="1A1A1A"/>
                <w:sz w:val="20"/>
              </w:rPr>
              <w:t>Deadline: 48 months from the Commencement Date (~July 2030).</w:t>
            </w:r>
          </w:p>
        </w:tc>
      </w:tr>
      <w:tr>
        <w:tc>
          <w:tcPr>
            <w:tcW w:type="dxa" w:w="2721"/>
            <w:shd w:val="clear" w:color="auto" w:fill="FFFFFF"/>
          </w:tcPr>
          <w:p>
            <w:r/>
            <w:r>
              <w:rPr>
                <w:b/>
                <w:i w:val="0"/>
                <w:color w:val="1A1A1A"/>
                <w:sz w:val="20"/>
              </w:rPr>
              <w:t>Tranche 3</w:t>
            </w:r>
          </w:p>
        </w:tc>
        <w:tc>
          <w:tcPr>
            <w:tcW w:type="dxa" w:w="6633"/>
            <w:shd w:val="clear" w:color="auto" w:fill="FFFFFF"/>
          </w:tcPr>
          <w:p>
            <w:pPr>
              <w:spacing w:before="20" w:after="40"/>
            </w:pPr>
            <w:r/>
            <w:r>
              <w:rPr>
                <w:color w:val="1A1A1A"/>
                <w:sz w:val="20"/>
              </w:rPr>
              <w:t>10% on verified total AUM of R200,000,000 or more.</w:t>
            </w:r>
          </w:p>
          <w:p>
            <w:pPr>
              <w:spacing w:before="20" w:after="40"/>
            </w:pPr>
            <w:r>
              <w:rPr>
                <w:color w:val="1A1A1A"/>
                <w:sz w:val="20"/>
              </w:rPr>
              <w:t>Deadline: 72 months from the Commencement Date (~July 2032).</w:t>
            </w:r>
          </w:p>
        </w:tc>
      </w:tr>
      <w:tr>
        <w:tc>
          <w:tcPr>
            <w:tcW w:type="dxa" w:w="2721"/>
            <w:shd w:val="clear" w:color="auto" w:fill="F5F5F5"/>
          </w:tcPr>
          <w:p>
            <w:r/>
            <w:r>
              <w:rPr>
                <w:b/>
                <w:i w:val="0"/>
                <w:color w:val="1A1A1A"/>
                <w:sz w:val="20"/>
              </w:rPr>
              <w:t>Total-AUM basis (all introductions count)</w:t>
            </w:r>
          </w:p>
        </w:tc>
        <w:tc>
          <w:tcPr>
            <w:tcW w:type="dxa" w:w="6633"/>
            <w:shd w:val="clear" w:color="auto" w:fill="F5F5F5"/>
          </w:tcPr>
          <w:p>
            <w:pPr>
              <w:spacing w:before="20" w:after="40"/>
            </w:pPr>
            <w:r/>
            <w:r>
              <w:rPr>
                <w:color w:val="1A1A1A"/>
                <w:sz w:val="20"/>
              </w:rPr>
              <w:t>For the avoidance of doubt, Simon's vesting is tied to the TOTAL assets under management of the Company, and NOT only to clients Simon personally introduces. ALL client AUM counts toward the milestones — including clients introduced by Davin, by the marketing investor, by third parties, or otherwise. This recognises Simon's broader contribution (business development, the marketing capital he helps unlock, and platform access) and avoids attribution disputes. The Introduced Client Register (Clause 4) is maintained for revenue-share and record purposes only and does not limit milestone vesting.</w:t>
            </w:r>
          </w:p>
        </w:tc>
      </w:tr>
      <w:tr>
        <w:tc>
          <w:tcPr>
            <w:tcW w:type="dxa" w:w="2721"/>
            <w:shd w:val="clear" w:color="auto" w:fill="FFFFFF"/>
          </w:tcPr>
          <w:p>
            <w:r/>
            <w:r>
              <w:rPr>
                <w:b/>
                <w:i w:val="0"/>
                <w:color w:val="1A1A1A"/>
                <w:sz w:val="20"/>
              </w:rPr>
              <w:t>Objective Verification</w:t>
            </w:r>
          </w:p>
        </w:tc>
        <w:tc>
          <w:tcPr>
            <w:tcW w:type="dxa" w:w="6633"/>
            <w:shd w:val="clear" w:color="auto" w:fill="FFFFFF"/>
          </w:tcPr>
          <w:p>
            <w:pPr>
              <w:spacing w:before="20" w:after="40"/>
            </w:pPr>
            <w:r/>
            <w:r>
              <w:rPr>
                <w:color w:val="1A1A1A"/>
                <w:sz w:val="20"/>
              </w:rPr>
              <w:t>A milestone is achieved when total AUM meets the target at a month-end AND remains at or above it to the next month-end (two consecutive month-ends), verified objectively from platform, custodian, exchange, and accounting records. This prevents a one-day spike from triggering a permanent equity transfer.</w:t>
            </w:r>
          </w:p>
        </w:tc>
      </w:tr>
      <w:tr>
        <w:tc>
          <w:tcPr>
            <w:tcW w:type="dxa" w:w="2721"/>
            <w:shd w:val="clear" w:color="auto" w:fill="F5F5F5"/>
          </w:tcPr>
          <w:p>
            <w:r/>
            <w:r>
              <w:rPr>
                <w:b/>
                <w:i w:val="0"/>
                <w:color w:val="1A1A1A"/>
                <w:sz w:val="20"/>
              </w:rPr>
              <w:t>Administrative Confirmation</w:t>
            </w:r>
          </w:p>
        </w:tc>
        <w:tc>
          <w:tcPr>
            <w:tcW w:type="dxa" w:w="6633"/>
            <w:shd w:val="clear" w:color="auto" w:fill="F5F5F5"/>
          </w:tcPr>
          <w:p>
            <w:pPr>
              <w:spacing w:before="20" w:after="40"/>
            </w:pPr>
            <w:r/>
            <w:r>
              <w:rPr>
                <w:color w:val="1A1A1A"/>
                <w:sz w:val="20"/>
              </w:rPr>
              <w:t>Board confirmation is administrative only and may not be unreasonably withheld or delayed. If the evidence shows the threshold met and sustained and the Board has not confirmed within 10 business days, the milestone is deemed achieved.</w:t>
            </w:r>
          </w:p>
        </w:tc>
      </w:tr>
      <w:tr>
        <w:tc>
          <w:tcPr>
            <w:tcW w:type="dxa" w:w="2721"/>
            <w:shd w:val="clear" w:color="auto" w:fill="FFFFFF"/>
          </w:tcPr>
          <w:p>
            <w:r/>
            <w:r>
              <w:rPr>
                <w:b/>
                <w:i w:val="0"/>
                <w:color w:val="1A1A1A"/>
                <w:sz w:val="20"/>
              </w:rPr>
              <w:t>Sequence</w:t>
            </w:r>
          </w:p>
        </w:tc>
        <w:tc>
          <w:tcPr>
            <w:tcW w:type="dxa" w:w="6633"/>
            <w:shd w:val="clear" w:color="auto" w:fill="FFFFFF"/>
          </w:tcPr>
          <w:p>
            <w:pPr>
              <w:spacing w:before="20" w:after="40"/>
            </w:pPr>
            <w:r/>
            <w:r>
              <w:rPr>
                <w:color w:val="1A1A1A"/>
                <w:sz w:val="20"/>
              </w:rPr>
              <w:t>Milestones are achieved in sequence; a later tranche cannot vest before the earlier tranche is earned (or its shortfall resolved under Clause 7).</w:t>
            </w:r>
          </w:p>
        </w:tc>
      </w:tr>
      <w:tr>
        <w:tc>
          <w:tcPr>
            <w:tcW w:type="dxa" w:w="2721"/>
            <w:shd w:val="clear" w:color="auto" w:fill="F5F5F5"/>
          </w:tcPr>
          <w:p>
            <w:r/>
            <w:r>
              <w:rPr>
                <w:b/>
                <w:i w:val="0"/>
                <w:color w:val="1A1A1A"/>
                <w:sz w:val="20"/>
              </w:rPr>
              <w:t>Maximum / Minimum</w:t>
            </w:r>
          </w:p>
        </w:tc>
        <w:tc>
          <w:tcPr>
            <w:tcW w:type="dxa" w:w="6633"/>
            <w:shd w:val="clear" w:color="auto" w:fill="F5F5F5"/>
          </w:tcPr>
          <w:p>
            <w:pPr>
              <w:spacing w:before="20" w:after="40"/>
            </w:pPr>
            <w:r/>
            <w:r>
              <w:rPr>
                <w:color w:val="1A1A1A"/>
                <w:sz w:val="20"/>
              </w:rPr>
              <w:t>Full earn-in (before any investor dilution — see Part A §5): Davin 60%, Simon 40%. Simon retains his founding 10% regardless of milestone outcome (subject to Clause 10).</w:t>
            </w:r>
          </w:p>
        </w:tc>
      </w:tr>
    </w:tbl>
    <w:p>
      <w:pPr>
        <w:spacing w:after="80"/>
      </w:pPr>
    </w:p>
    <w:p>
      <w:pPr>
        <w:keepNext/>
        <w:spacing w:before="280" w:after="80"/>
      </w:pPr>
      <w:r>
        <w:rPr>
          <w:rFonts w:ascii="Calibri" w:hAnsi="Calibri"/>
          <w:b/>
          <w:color w:val="C9A227"/>
          <w:sz w:val="28"/>
        </w:rPr>
        <w:t>7.  MILESTONE SHORTFALL — NEAR-MISS VESTING</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Replaces v2 options</w:t>
            </w:r>
          </w:p>
        </w:tc>
        <w:tc>
          <w:tcPr>
            <w:tcW w:type="dxa" w:w="6633"/>
            <w:shd w:val="clear" w:color="auto" w:fill="F5F5F5"/>
          </w:tcPr>
          <w:p>
            <w:pPr>
              <w:spacing w:before="20" w:after="40"/>
            </w:pPr>
            <w:r/>
            <w:r>
              <w:rPr>
                <w:color w:val="1A1A1A"/>
                <w:sz w:val="20"/>
              </w:rPr>
              <w:t>This unified mechanism replaces the four options in v2 and applies equally to all three tranches.</w:t>
            </w:r>
          </w:p>
        </w:tc>
      </w:tr>
      <w:tr>
        <w:tc>
          <w:tcPr>
            <w:tcW w:type="dxa" w:w="2721"/>
            <w:shd w:val="clear" w:color="auto" w:fill="FFFFFF"/>
          </w:tcPr>
          <w:p>
            <w:r/>
            <w:r>
              <w:rPr>
                <w:b/>
                <w:i w:val="0"/>
                <w:color w:val="1A1A1A"/>
                <w:sz w:val="20"/>
              </w:rPr>
              <w:t>Step 1 — Extension eligibility</w:t>
            </w:r>
          </w:p>
        </w:tc>
        <w:tc>
          <w:tcPr>
            <w:tcW w:type="dxa" w:w="6633"/>
            <w:shd w:val="clear" w:color="auto" w:fill="FFFFFF"/>
          </w:tcPr>
          <w:p>
            <w:pPr>
              <w:spacing w:before="20" w:after="40"/>
            </w:pPr>
            <w:r/>
            <w:r>
              <w:rPr>
                <w:color w:val="1A1A1A"/>
                <w:sz w:val="20"/>
              </w:rPr>
              <w:t>Measured AT THE DEADLINE: if AUM is at least 80% of the target, Simon automatically receives a single 6-month extension for that tranche. If AUM is below 80% at the deadline, the tranche lapses immediately and no extension is granted.</w:t>
            </w:r>
          </w:p>
        </w:tc>
      </w:tr>
      <w:tr>
        <w:tc>
          <w:tcPr>
            <w:tcW w:type="dxa" w:w="2721"/>
            <w:shd w:val="clear" w:color="auto" w:fill="F5F5F5"/>
          </w:tcPr>
          <w:p>
            <w:r/>
            <w:r>
              <w:rPr>
                <w:b/>
                <w:i w:val="0"/>
                <w:color w:val="1A1A1A"/>
                <w:sz w:val="20"/>
              </w:rPr>
              <w:t>Step 2 — Full vesting</w:t>
            </w:r>
          </w:p>
        </w:tc>
        <w:tc>
          <w:tcPr>
            <w:tcW w:type="dxa" w:w="6633"/>
            <w:shd w:val="clear" w:color="auto" w:fill="F5F5F5"/>
          </w:tcPr>
          <w:p>
            <w:pPr>
              <w:spacing w:before="20" w:after="40"/>
            </w:pPr>
            <w:r/>
            <w:r>
              <w:rPr>
                <w:color w:val="1A1A1A"/>
                <w:sz w:val="20"/>
              </w:rPr>
              <w:t>If AUM reaches 100% of the target at any point during the 6-month extension, the full 10% tranche vests.</w:t>
            </w:r>
          </w:p>
        </w:tc>
      </w:tr>
      <w:tr>
        <w:tc>
          <w:tcPr>
            <w:tcW w:type="dxa" w:w="2721"/>
            <w:shd w:val="clear" w:color="auto" w:fill="FFFFFF"/>
          </w:tcPr>
          <w:p>
            <w:r/>
            <w:r>
              <w:rPr>
                <w:b/>
                <w:i w:val="0"/>
                <w:color w:val="1A1A1A"/>
                <w:sz w:val="20"/>
              </w:rPr>
              <w:t>Step 3 — Pro-rata vesting</w:t>
            </w:r>
          </w:p>
        </w:tc>
        <w:tc>
          <w:tcPr>
            <w:tcW w:type="dxa" w:w="6633"/>
            <w:shd w:val="clear" w:color="auto" w:fill="FFFFFF"/>
          </w:tcPr>
          <w:p>
            <w:pPr>
              <w:spacing w:before="20" w:after="40"/>
            </w:pPr>
            <w:r/>
            <w:r>
              <w:rPr>
                <w:color w:val="1A1A1A"/>
                <w:sz w:val="20"/>
              </w:rPr>
              <w:t>If, AT THE END OF THE EXTENSION, AUM is at least 80% but below 100% of the target, Simon vests a pro-rata portion of that tranche = (AUM achieved ÷ target) × 10%. Example: R45m of R50m (90%) → Simon vests 9%; the residual 1% remains with Davin.</w:t>
            </w:r>
          </w:p>
        </w:tc>
      </w:tr>
      <w:tr>
        <w:tc>
          <w:tcPr>
            <w:tcW w:type="dxa" w:w="2721"/>
            <w:shd w:val="clear" w:color="auto" w:fill="F5F5F5"/>
          </w:tcPr>
          <w:p>
            <w:r/>
            <w:r>
              <w:rPr>
                <w:b/>
                <w:i w:val="0"/>
                <w:color w:val="1A1A1A"/>
                <w:sz w:val="20"/>
              </w:rPr>
              <w:t>Step 4 — Lapse</w:t>
            </w:r>
          </w:p>
        </w:tc>
        <w:tc>
          <w:tcPr>
            <w:tcW w:type="dxa" w:w="6633"/>
            <w:shd w:val="clear" w:color="auto" w:fill="F5F5F5"/>
          </w:tcPr>
          <w:p>
            <w:pPr>
              <w:spacing w:before="20" w:after="40"/>
            </w:pPr>
            <w:r/>
            <w:r>
              <w:rPr>
                <w:color w:val="1A1A1A"/>
                <w:sz w:val="20"/>
              </w:rPr>
              <w:t>If, at the end of the extension, AUM has fallen below 80% of the target, the tranche lapses in full and the shares remain with Davin. Simon retains all previously-earned tranches and his founding 10%.</w:t>
            </w:r>
          </w:p>
        </w:tc>
      </w:tr>
    </w:tbl>
    <w:p>
      <w:pPr>
        <w:spacing w:after="80"/>
      </w:pPr>
    </w:p>
    <w:p>
      <w:r>
        <w:br w:type="page"/>
      </w:r>
    </w:p>
    <w:p>
      <w:pPr>
        <w:keepNext/>
        <w:spacing w:before="280" w:after="80"/>
      </w:pPr>
      <w:r>
        <w:rPr>
          <w:rFonts w:ascii="Calibri" w:hAnsi="Calibri"/>
          <w:b/>
          <w:color w:val="C9A227"/>
          <w:sz w:val="28"/>
        </w:rPr>
        <w:t>8.  NEW VENTURES &amp; INNOVATION REVENUE</w:t>
      </w:r>
    </w:p>
    <w:p>
      <w:pPr>
        <w:spacing w:before="40" w:after="120"/>
      </w:pPr>
      <w:r>
        <w:rPr>
          <w:b w:val="0"/>
          <w:i w:val="0"/>
          <w:color w:val="1A1A1A"/>
          <w:sz w:val="20"/>
        </w:rPr>
        <w:t>This clause addresses Simon's request for a revenue share on new products or ideas that generate new revenue. It balances (i) Davin's preference that genuinely new products are built in a separate company on fresh terms; (ii) fairness to Simon where he personally originates and runs a new, non-AUM revenue stream; and (iii) protection against Simon receiving extra revenue share on revenue generated by clients that Davin or others introduce.</w:t>
      </w:r>
    </w:p>
    <w:p>
      <w:pPr>
        <w:keepNext/>
        <w:spacing w:before="160" w:after="80"/>
      </w:pPr>
      <w:r>
        <w:rPr>
          <w:rFonts w:ascii="Calibri" w:hAnsi="Calibri"/>
          <w:b/>
          <w:color w:val="1A1A1A"/>
          <w:sz w:val="22"/>
        </w:rPr>
        <w:t>The core principle</w:t>
      </w:r>
    </w:p>
    <w:p>
      <w:pPr>
        <w:spacing w:before="40" w:after="120"/>
      </w:pPr>
      <w:r>
        <w:rPr>
          <w:b w:val="0"/>
          <w:i w:val="0"/>
          <w:color w:val="1A1A1A"/>
          <w:sz w:val="20"/>
        </w:rPr>
        <w:t>Simon is already a shareholder, so through dividends and equity value he already shares in ALL Company revenue — including AUM revenue from clients introduced by anyone. The framework therefore separates two different rewards: 'ownership reward' (his equity dividend) from 'origination reward' (a ring-fenced share of only the specific new stream he personally creates and runs). The ring-fence never touches AUM revenue.</w:t>
      </w:r>
    </w:p>
    <w:p>
      <w:pPr>
        <w:keepNext/>
        <w:spacing w:before="280" w:after="80"/>
      </w:pPr>
      <w:r>
        <w:rPr>
          <w:rFonts w:ascii="Calibri" w:hAnsi="Calibri"/>
          <w:b/>
          <w:color w:val="C9A227"/>
          <w:sz w:val="28"/>
        </w:rPr>
        <w:t>8.1  DEFAULT RULE — NEW VENTURES GO INTO A NEWCO</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Default rule</w:t>
            </w:r>
          </w:p>
        </w:tc>
        <w:tc>
          <w:tcPr>
            <w:tcW w:type="dxa" w:w="6633"/>
            <w:shd w:val="clear" w:color="auto" w:fill="F5F5F5"/>
          </w:tcPr>
          <w:p>
            <w:pPr>
              <w:spacing w:before="20" w:after="40"/>
            </w:pPr>
            <w:r/>
            <w:r>
              <w:rPr>
                <w:color w:val="1A1A1A"/>
                <w:sz w:val="20"/>
              </w:rPr>
              <w:t>Any materially new product, business line, or revenue stream that is separable from the core BitWealth AUM business is developed in a NEW company ('NewCo').</w:t>
            </w:r>
          </w:p>
        </w:tc>
      </w:tr>
      <w:tr>
        <w:tc>
          <w:tcPr>
            <w:tcW w:type="dxa" w:w="2721"/>
            <w:shd w:val="clear" w:color="auto" w:fill="FFFFFF"/>
          </w:tcPr>
          <w:p>
            <w:r/>
            <w:r>
              <w:rPr>
                <w:b/>
                <w:i w:val="0"/>
                <w:color w:val="1A1A1A"/>
                <w:sz w:val="20"/>
              </w:rPr>
              <w:t>Simon's automatic entitlement</w:t>
            </w:r>
          </w:p>
        </w:tc>
        <w:tc>
          <w:tcPr>
            <w:tcW w:type="dxa" w:w="6633"/>
            <w:shd w:val="clear" w:color="auto" w:fill="FFFFFF"/>
          </w:tcPr>
          <w:p>
            <w:pPr>
              <w:spacing w:before="20" w:after="40"/>
            </w:pPr>
            <w:r/>
            <w:r>
              <w:rPr>
                <w:color w:val="1A1A1A"/>
                <w:sz w:val="20"/>
              </w:rPr>
              <w:t>In each NewCo, Simon has an automatic right to 20% founding equity, and may earn up to a total of 45% through an AUM- (or revenue-) based milestone vesting schedule structured similarly to his BitWealth earn-in (staged tranches against agreed targets for that venture). The specific targets are set per venture to reflect its economics.</w:t>
            </w:r>
          </w:p>
        </w:tc>
      </w:tr>
      <w:tr>
        <w:tc>
          <w:tcPr>
            <w:tcW w:type="dxa" w:w="2721"/>
            <w:shd w:val="clear" w:color="auto" w:fill="F5F5F5"/>
          </w:tcPr>
          <w:p>
            <w:r/>
            <w:r>
              <w:rPr>
                <w:b/>
                <w:i w:val="0"/>
                <w:color w:val="1A1A1A"/>
                <w:sz w:val="20"/>
              </w:rPr>
              <w:t>Right to negotiate the balance</w:t>
            </w:r>
          </w:p>
        </w:tc>
        <w:tc>
          <w:tcPr>
            <w:tcW w:type="dxa" w:w="6633"/>
            <w:shd w:val="clear" w:color="auto" w:fill="F5F5F5"/>
          </w:tcPr>
          <w:p>
            <w:pPr>
              <w:spacing w:before="20" w:after="40"/>
            </w:pPr>
            <w:r/>
            <w:r>
              <w:rPr>
                <w:color w:val="1A1A1A"/>
                <w:sz w:val="20"/>
              </w:rPr>
              <w:t>The remaining equity and the specific milestone targets for each NewCo are negotiated in good faith per venture, reflecting who originates, funds, builds, and runs it. Simon's 20% floor and 45% ceiling are fixed parameters; everything else is negotiated fresh.</w:t>
            </w:r>
          </w:p>
        </w:tc>
      </w:tr>
      <w:tr>
        <w:tc>
          <w:tcPr>
            <w:tcW w:type="dxa" w:w="2721"/>
            <w:shd w:val="clear" w:color="auto" w:fill="FFFFFF"/>
          </w:tcPr>
          <w:p>
            <w:r/>
            <w:r>
              <w:rPr>
                <w:b/>
                <w:i w:val="0"/>
                <w:color w:val="1A1A1A"/>
                <w:sz w:val="20"/>
              </w:rPr>
              <w:t>Who decides</w:t>
            </w:r>
          </w:p>
        </w:tc>
        <w:tc>
          <w:tcPr>
            <w:tcW w:type="dxa" w:w="6633"/>
            <w:shd w:val="clear" w:color="auto" w:fill="FFFFFF"/>
          </w:tcPr>
          <w:p>
            <w:pPr>
              <w:spacing w:before="20" w:after="40"/>
            </w:pPr>
            <w:r/>
            <w:r>
              <w:rPr>
                <w:color w:val="1A1A1A"/>
                <w:sz w:val="20"/>
              </w:rPr>
              <w:t>The Board (with Davin's control vote) decides whether a new idea is pursued inside BitWealth or via a NewCo.</w:t>
            </w:r>
          </w:p>
        </w:tc>
      </w:tr>
    </w:tbl>
    <w:p>
      <w:pPr>
        <w:spacing w:after="80"/>
      </w:pPr>
    </w:p>
    <w:p>
      <w:pPr>
        <w:keepNext/>
        <w:spacing w:before="280" w:after="80"/>
      </w:pPr>
      <w:r>
        <w:rPr>
          <w:rFonts w:ascii="Calibri" w:hAnsi="Calibri"/>
          <w:b/>
          <w:color w:val="C9A227"/>
          <w:sz w:val="28"/>
        </w:rPr>
        <w:t>8.2  EXCEPTION — SIMON-ORIGINATED NON-AUM REVENUE KEPT INSIDE BITWEALTH</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When this applies</w:t>
            </w:r>
          </w:p>
        </w:tc>
        <w:tc>
          <w:tcPr>
            <w:tcW w:type="dxa" w:w="6633"/>
            <w:shd w:val="clear" w:color="auto" w:fill="F5F5F5"/>
          </w:tcPr>
          <w:p>
            <w:pPr>
              <w:spacing w:before="20" w:after="40"/>
            </w:pPr>
            <w:r/>
            <w:r>
              <w:rPr>
                <w:color w:val="1A1A1A"/>
                <w:sz w:val="20"/>
              </w:rPr>
              <w:t>Only where ALL of the following are true:</w:t>
            </w:r>
          </w:p>
          <w:p>
            <w:pPr>
              <w:spacing w:before="20" w:after="40"/>
            </w:pPr>
            <w:r>
              <w:rPr>
                <w:b/>
                <w:color w:val="1A1A1A"/>
                <w:sz w:val="20"/>
              </w:rPr>
              <w:t>(a) Simon personally originates a genuinely new, NON-AUM revenue stream (not performance, platform, management, or exchange fees on managed assets);</w:t>
            </w:r>
          </w:p>
          <w:p>
            <w:pPr>
              <w:spacing w:before="20" w:after="40"/>
            </w:pPr>
            <w:r>
              <w:rPr>
                <w:b/>
                <w:color w:val="1A1A1A"/>
                <w:sz w:val="20"/>
              </w:rPr>
              <w:t>(b) the Board decides to keep it inside BitWealth; and</w:t>
            </w:r>
          </w:p>
          <w:p>
            <w:pPr>
              <w:spacing w:before="20" w:after="40"/>
            </w:pPr>
            <w:r>
              <w:rPr>
                <w:b/>
                <w:color w:val="1A1A1A"/>
                <w:sz w:val="20"/>
              </w:rPr>
              <w:t>(c) Simon actively leads the delivery of that stream (as defined below).</w:t>
            </w:r>
          </w:p>
        </w:tc>
      </w:tr>
      <w:tr>
        <w:tc>
          <w:tcPr>
            <w:tcW w:type="dxa" w:w="2721"/>
            <w:shd w:val="clear" w:color="auto" w:fill="FFFFFF"/>
          </w:tcPr>
          <w:p>
            <w:r/>
            <w:r>
              <w:rPr>
                <w:b/>
                <w:i w:val="0"/>
                <w:color w:val="1A1A1A"/>
                <w:sz w:val="20"/>
              </w:rPr>
              <w:t>Meaning of 'actively leads'</w:t>
            </w:r>
          </w:p>
        </w:tc>
        <w:tc>
          <w:tcPr>
            <w:tcW w:type="dxa" w:w="6633"/>
            <w:shd w:val="clear" w:color="auto" w:fill="FFFFFF"/>
          </w:tcPr>
          <w:p>
            <w:pPr>
              <w:spacing w:before="20" w:after="40"/>
            </w:pPr>
            <w:r/>
            <w:r>
              <w:rPr>
                <w:color w:val="1A1A1A"/>
                <w:sz w:val="20"/>
              </w:rPr>
              <w:t>'Actively leading the delivery' means Simon drives the COMMERCIAL and BUSINESS-DEVELOPMENT side of the stream — concept origination, client and partner relationships, go-to-market, sales, and revenue growth. It does NOT require Simon to perform IT development, engineering, product build, or technical operations, which remain the Company's responsibility. If Simon ceases to actively lead in this sense, the Innovation Revenue Share stops (subject to any agreed tail).</w:t>
            </w:r>
          </w:p>
        </w:tc>
      </w:tr>
      <w:tr>
        <w:tc>
          <w:tcPr>
            <w:tcW w:type="dxa" w:w="2721"/>
            <w:shd w:val="clear" w:color="auto" w:fill="F5F5F5"/>
          </w:tcPr>
          <w:p>
            <w:r/>
            <w:r>
              <w:rPr>
                <w:b/>
                <w:i w:val="0"/>
                <w:color w:val="1A1A1A"/>
                <w:sz w:val="20"/>
              </w:rPr>
              <w:t>Innovation Revenue Share</w:t>
            </w:r>
          </w:p>
        </w:tc>
        <w:tc>
          <w:tcPr>
            <w:tcW w:type="dxa" w:w="6633"/>
            <w:shd w:val="clear" w:color="auto" w:fill="F5F5F5"/>
          </w:tcPr>
          <w:p>
            <w:pPr>
              <w:spacing w:before="20" w:after="40"/>
            </w:pPr>
            <w:r/>
            <w:r>
              <w:rPr>
                <w:color w:val="1A1A1A"/>
                <w:sz w:val="20"/>
              </w:rPr>
              <w:t>Simon receives a ring-fenced share of the NET revenue of THAT specific stream only:</w:t>
            </w:r>
          </w:p>
          <w:p>
            <w:pPr>
              <w:spacing w:before="20" w:after="40"/>
            </w:pPr>
            <w:r>
              <w:rPr>
                <w:b/>
                <w:color w:val="1A1A1A"/>
                <w:sz w:val="20"/>
              </w:rPr>
              <w:t>(a) a 10% rate of net stream revenue (the agreed inside-BitWealth rate — see 8.4);</w:t>
            </w:r>
          </w:p>
          <w:p>
            <w:pPr>
              <w:spacing w:before="20" w:after="40"/>
            </w:pPr>
            <w:r>
              <w:rPr>
                <w:b/>
                <w:color w:val="1A1A1A"/>
                <w:sz w:val="20"/>
              </w:rPr>
              <w:t>(b) for a fixed period (suggested 48 months from first revenue);</w:t>
            </w:r>
          </w:p>
          <w:p>
            <w:pPr>
              <w:spacing w:before="20" w:after="40"/>
            </w:pPr>
            <w:r>
              <w:rPr>
                <w:b/>
                <w:color w:val="1A1A1A"/>
                <w:sz w:val="20"/>
              </w:rPr>
              <w:t>(c) payable only while Simon actively leads the stream;</w:t>
            </w:r>
          </w:p>
          <w:p>
            <w:pPr>
              <w:spacing w:before="20" w:after="40"/>
            </w:pPr>
            <w:r>
              <w:rPr>
                <w:b/>
                <w:color w:val="1A1A1A"/>
                <w:sz w:val="20"/>
              </w:rPr>
              <w:t>(d) the stream is separately accounted so the ring-fence is auditable.</w:t>
            </w:r>
          </w:p>
        </w:tc>
      </w:tr>
      <w:tr>
        <w:tc>
          <w:tcPr>
            <w:tcW w:type="dxa" w:w="2721"/>
            <w:shd w:val="clear" w:color="auto" w:fill="FFFFFF"/>
          </w:tcPr>
          <w:p>
            <w:r/>
            <w:r>
              <w:rPr>
                <w:b/>
                <w:i w:val="0"/>
                <w:color w:val="1A1A1A"/>
                <w:sz w:val="20"/>
              </w:rPr>
              <w:t>Ring-fence — key protection</w:t>
            </w:r>
          </w:p>
        </w:tc>
        <w:tc>
          <w:tcPr>
            <w:tcW w:type="dxa" w:w="6633"/>
            <w:shd w:val="clear" w:color="auto" w:fill="FFFFFF"/>
          </w:tcPr>
          <w:p>
            <w:pPr>
              <w:spacing w:before="20" w:after="40"/>
            </w:pPr>
            <w:r/>
            <w:r>
              <w:rPr>
                <w:color w:val="1A1A1A"/>
                <w:sz w:val="20"/>
              </w:rPr>
              <w:t>The Innovation Revenue Share attaches ONLY to the new non-AUM stream Simon creates. It NEVER touches AUM-based revenue (performance, platform, management, or exchange fees) from any client — including clients Davin or others introduce.</w:t>
            </w:r>
          </w:p>
        </w:tc>
      </w:tr>
      <w:tr>
        <w:tc>
          <w:tcPr>
            <w:tcW w:type="dxa" w:w="2721"/>
            <w:shd w:val="clear" w:color="auto" w:fill="F5F5F5"/>
          </w:tcPr>
          <w:p>
            <w:r/>
            <w:r>
              <w:rPr>
                <w:b/>
                <w:i w:val="0"/>
                <w:color w:val="1A1A1A"/>
                <w:sz w:val="20"/>
              </w:rPr>
              <w:t>IP ownership</w:t>
            </w:r>
          </w:p>
        </w:tc>
        <w:tc>
          <w:tcPr>
            <w:tcW w:type="dxa" w:w="6633"/>
            <w:shd w:val="clear" w:color="auto" w:fill="F5F5F5"/>
          </w:tcPr>
          <w:p>
            <w:pPr>
              <w:spacing w:before="20" w:after="40"/>
            </w:pPr>
            <w:r/>
            <w:r>
              <w:rPr>
                <w:color w:val="1A1A1A"/>
                <w:sz w:val="20"/>
              </w:rPr>
              <w:t>All IP in the new stream vests in the Company (or NewCo), not in Simon personally, regardless of the revenue share.</w:t>
            </w:r>
          </w:p>
        </w:tc>
      </w:tr>
      <w:tr>
        <w:tc>
          <w:tcPr>
            <w:tcW w:type="dxa" w:w="2721"/>
            <w:shd w:val="clear" w:color="auto" w:fill="FFFFFF"/>
          </w:tcPr>
          <w:p>
            <w:r/>
            <w:r>
              <w:rPr>
                <w:b/>
                <w:i w:val="0"/>
                <w:color w:val="1A1A1A"/>
                <w:sz w:val="20"/>
              </w:rPr>
              <w:t>Exclusions</w:t>
            </w:r>
          </w:p>
        </w:tc>
        <w:tc>
          <w:tcPr>
            <w:tcW w:type="dxa" w:w="6633"/>
            <w:shd w:val="clear" w:color="auto" w:fill="FFFFFF"/>
          </w:tcPr>
          <w:p>
            <w:pPr>
              <w:spacing w:before="20" w:after="40"/>
            </w:pPr>
            <w:r/>
            <w:r>
              <w:rPr>
                <w:color w:val="1A1A1A"/>
                <w:sz w:val="20"/>
              </w:rPr>
              <w:t>Does NOT apply to enhancements or extensions of the core AUM business (new client tiers, pricing changes, new asset pairs) — those are core revenue in which Simon already shares as a shareholder.</w:t>
            </w:r>
          </w:p>
        </w:tc>
      </w:tr>
    </w:tbl>
    <w:p>
      <w:pPr>
        <w:spacing w:after="80"/>
      </w:pPr>
    </w:p>
    <w:p>
      <w:pPr>
        <w:keepNext/>
        <w:spacing w:before="160" w:after="80"/>
      </w:pPr>
      <w:r>
        <w:rPr>
          <w:rFonts w:ascii="Calibri" w:hAnsi="Calibri"/>
          <w:b/>
          <w:color w:val="1A1A1A"/>
          <w:sz w:val="22"/>
        </w:rPr>
        <w:t>8.3  Does Simon get the ring-fenced share PLUS his equity dividend? — Yes, and here is why it matters</w:t>
      </w:r>
    </w:p>
    <w:p>
      <w:pPr>
        <w:spacing w:before="40" w:after="80"/>
      </w:pPr>
      <w:r>
        <w:rPr>
          <w:b w:val="0"/>
          <w:i w:val="0"/>
          <w:color w:val="1A1A1A"/>
          <w:sz w:val="20"/>
        </w:rPr>
        <w:t>This is the key question. If the new stream is kept INSIDE BitWealth, then under the drafted approach Simon receives BOTH: (1) the ring-fenced Innovation Revenue Share off the top, AND (2) his normal equity-based dividend share of whatever profit remains after that. The two stack, because the residual profit of the stream is ordinary Company profit that flows to all shareholders by their equity %.</w:t>
      </w:r>
    </w:p>
    <w:p>
      <w:pPr>
        <w:spacing w:before="40" w:after="80"/>
      </w:pPr>
      <w:r>
        <w:rPr>
          <w:b/>
          <w:i w:val="0"/>
          <w:color w:val="1A1A1A"/>
          <w:sz w:val="20"/>
        </w:rPr>
        <w:t>Worked example. Assume the new stream produces R1,000,000 net revenue in a year, Simon holds 40% equity (full earn-in), a 10% Innovation Revenue Share, and no other costs, all residual profit distributed as dividends: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474"/>
            <w:shd w:val="clear" w:color="auto" w:fill="006064"/>
          </w:tcPr>
          <w:p>
            <w:pPr>
              <w:jc w:val="center"/>
            </w:pPr>
            <w:r/>
            <w:r>
              <w:rPr>
                <w:b/>
                <w:i w:val="0"/>
                <w:color w:val="FFFFFF"/>
                <w:sz w:val="17"/>
              </w:rPr>
              <w:t>Simon's equity</w:t>
            </w:r>
          </w:p>
        </w:tc>
        <w:tc>
          <w:tcPr>
            <w:tcW w:type="dxa" w:w="1814"/>
            <w:shd w:val="clear" w:color="auto" w:fill="006064"/>
          </w:tcPr>
          <w:p>
            <w:pPr>
              <w:jc w:val="center"/>
            </w:pPr>
            <w:r/>
            <w:r>
              <w:rPr>
                <w:b/>
                <w:i w:val="0"/>
                <w:color w:val="FFFFFF"/>
                <w:sz w:val="17"/>
              </w:rPr>
              <w:t>Innovation share (10%)</w:t>
            </w:r>
          </w:p>
        </w:tc>
        <w:tc>
          <w:tcPr>
            <w:tcW w:type="dxa" w:w="2041"/>
            <w:shd w:val="clear" w:color="auto" w:fill="006064"/>
          </w:tcPr>
          <w:p>
            <w:pPr>
              <w:jc w:val="center"/>
            </w:pPr>
            <w:r/>
            <w:r>
              <w:rPr>
                <w:b/>
                <w:i w:val="0"/>
                <w:color w:val="FFFFFF"/>
                <w:sz w:val="17"/>
              </w:rPr>
              <w:t>Equity share of residual 90%</w:t>
            </w:r>
          </w:p>
        </w:tc>
        <w:tc>
          <w:tcPr>
            <w:tcW w:type="dxa" w:w="1928"/>
            <w:shd w:val="clear" w:color="auto" w:fill="006064"/>
          </w:tcPr>
          <w:p>
            <w:pPr>
              <w:jc w:val="center"/>
            </w:pPr>
            <w:r/>
            <w:r>
              <w:rPr>
                <w:b/>
                <w:i w:val="0"/>
                <w:color w:val="FFFFFF"/>
                <w:sz w:val="17"/>
              </w:rPr>
              <w:t>Simon's total from stream</w:t>
            </w:r>
          </w:p>
        </w:tc>
        <w:tc>
          <w:tcPr>
            <w:tcW w:type="dxa" w:w="1247"/>
            <w:shd w:val="clear" w:color="auto" w:fill="006064"/>
          </w:tcPr>
          <w:p>
            <w:pPr>
              <w:jc w:val="center"/>
            </w:pPr>
            <w:r/>
            <w:r>
              <w:rPr>
                <w:b/>
                <w:i w:val="0"/>
                <w:color w:val="FFFFFF"/>
                <w:sz w:val="17"/>
              </w:rPr>
              <w:t>Effective %</w:t>
            </w:r>
          </w:p>
        </w:tc>
      </w:tr>
      <w:tr>
        <w:tc>
          <w:tcPr>
            <w:tcW w:type="dxa" w:w="1474"/>
            <w:shd w:val="clear" w:color="auto" w:fill="FFFFFF"/>
          </w:tcPr>
          <w:p>
            <w:pPr>
              <w:jc w:val="center"/>
            </w:pPr>
            <w:r/>
            <w:r>
              <w:rPr>
                <w:b w:val="0"/>
                <w:i w:val="0"/>
                <w:color w:val="1A1A1A"/>
                <w:sz w:val="18"/>
              </w:rPr>
              <w:t>10%</w:t>
            </w:r>
          </w:p>
        </w:tc>
        <w:tc>
          <w:tcPr>
            <w:tcW w:type="dxa" w:w="1814"/>
            <w:shd w:val="clear" w:color="auto" w:fill="FFFFFF"/>
          </w:tcPr>
          <w:p>
            <w:pPr>
              <w:jc w:val="center"/>
            </w:pPr>
            <w:r/>
            <w:r>
              <w:rPr>
                <w:b w:val="0"/>
                <w:i w:val="0"/>
                <w:color w:val="1A1A1A"/>
                <w:sz w:val="18"/>
              </w:rPr>
              <w:t>R100,000</w:t>
            </w:r>
          </w:p>
        </w:tc>
        <w:tc>
          <w:tcPr>
            <w:tcW w:type="dxa" w:w="2041"/>
            <w:shd w:val="clear" w:color="auto" w:fill="FFFFFF"/>
          </w:tcPr>
          <w:p>
            <w:pPr>
              <w:jc w:val="center"/>
            </w:pPr>
            <w:r/>
            <w:r>
              <w:rPr>
                <w:b w:val="0"/>
                <w:i w:val="0"/>
                <w:color w:val="1A1A1A"/>
                <w:sz w:val="18"/>
              </w:rPr>
              <w:t>R90,000</w:t>
            </w:r>
          </w:p>
        </w:tc>
        <w:tc>
          <w:tcPr>
            <w:tcW w:type="dxa" w:w="1928"/>
            <w:shd w:val="clear" w:color="auto" w:fill="FFFFFF"/>
          </w:tcPr>
          <w:p>
            <w:pPr>
              <w:jc w:val="center"/>
            </w:pPr>
            <w:r/>
            <w:r>
              <w:rPr>
                <w:b/>
                <w:i w:val="0"/>
                <w:color w:val="1A1A1A"/>
                <w:sz w:val="18"/>
              </w:rPr>
              <w:t>R190,000</w:t>
            </w:r>
          </w:p>
        </w:tc>
        <w:tc>
          <w:tcPr>
            <w:tcW w:type="dxa" w:w="1247"/>
            <w:shd w:val="clear" w:color="auto" w:fill="FFFFFF"/>
          </w:tcPr>
          <w:p>
            <w:pPr>
              <w:jc w:val="center"/>
            </w:pPr>
            <w:r/>
            <w:r>
              <w:rPr>
                <w:b/>
                <w:i w:val="0"/>
                <w:color w:val="1A1A1A"/>
                <w:sz w:val="18"/>
              </w:rPr>
              <w:t>19.0%</w:t>
            </w:r>
          </w:p>
        </w:tc>
      </w:tr>
      <w:tr>
        <w:tc>
          <w:tcPr>
            <w:tcW w:type="dxa" w:w="1474"/>
            <w:shd w:val="clear" w:color="auto" w:fill="F5F5F5"/>
          </w:tcPr>
          <w:p>
            <w:pPr>
              <w:jc w:val="center"/>
            </w:pPr>
            <w:r/>
            <w:r>
              <w:rPr>
                <w:b w:val="0"/>
                <w:i w:val="0"/>
                <w:color w:val="1A1A1A"/>
                <w:sz w:val="18"/>
              </w:rPr>
              <w:t>20%</w:t>
            </w:r>
          </w:p>
        </w:tc>
        <w:tc>
          <w:tcPr>
            <w:tcW w:type="dxa" w:w="1814"/>
            <w:shd w:val="clear" w:color="auto" w:fill="F5F5F5"/>
          </w:tcPr>
          <w:p>
            <w:pPr>
              <w:jc w:val="center"/>
            </w:pPr>
            <w:r/>
            <w:r>
              <w:rPr>
                <w:b w:val="0"/>
                <w:i w:val="0"/>
                <w:color w:val="1A1A1A"/>
                <w:sz w:val="18"/>
              </w:rPr>
              <w:t>R100,000</w:t>
            </w:r>
          </w:p>
        </w:tc>
        <w:tc>
          <w:tcPr>
            <w:tcW w:type="dxa" w:w="2041"/>
            <w:shd w:val="clear" w:color="auto" w:fill="F5F5F5"/>
          </w:tcPr>
          <w:p>
            <w:pPr>
              <w:jc w:val="center"/>
            </w:pPr>
            <w:r/>
            <w:r>
              <w:rPr>
                <w:b w:val="0"/>
                <w:i w:val="0"/>
                <w:color w:val="1A1A1A"/>
                <w:sz w:val="18"/>
              </w:rPr>
              <w:t>R180,000</w:t>
            </w:r>
          </w:p>
        </w:tc>
        <w:tc>
          <w:tcPr>
            <w:tcW w:type="dxa" w:w="1928"/>
            <w:shd w:val="clear" w:color="auto" w:fill="F5F5F5"/>
          </w:tcPr>
          <w:p>
            <w:pPr>
              <w:jc w:val="center"/>
            </w:pPr>
            <w:r/>
            <w:r>
              <w:rPr>
                <w:b/>
                <w:i w:val="0"/>
                <w:color w:val="1A1A1A"/>
                <w:sz w:val="18"/>
              </w:rPr>
              <w:t>R280,000</w:t>
            </w:r>
          </w:p>
        </w:tc>
        <w:tc>
          <w:tcPr>
            <w:tcW w:type="dxa" w:w="1247"/>
            <w:shd w:val="clear" w:color="auto" w:fill="F5F5F5"/>
          </w:tcPr>
          <w:p>
            <w:pPr>
              <w:jc w:val="center"/>
            </w:pPr>
            <w:r/>
            <w:r>
              <w:rPr>
                <w:b/>
                <w:i w:val="0"/>
                <w:color w:val="1A1A1A"/>
                <w:sz w:val="18"/>
              </w:rPr>
              <w:t>28.0%</w:t>
            </w:r>
          </w:p>
        </w:tc>
      </w:tr>
      <w:tr>
        <w:tc>
          <w:tcPr>
            <w:tcW w:type="dxa" w:w="1474"/>
            <w:shd w:val="clear" w:color="auto" w:fill="FFFFFF"/>
          </w:tcPr>
          <w:p>
            <w:pPr>
              <w:jc w:val="center"/>
            </w:pPr>
            <w:r/>
            <w:r>
              <w:rPr>
                <w:b w:val="0"/>
                <w:i w:val="0"/>
                <w:color w:val="1A1A1A"/>
                <w:sz w:val="18"/>
              </w:rPr>
              <w:t>30%</w:t>
            </w:r>
          </w:p>
        </w:tc>
        <w:tc>
          <w:tcPr>
            <w:tcW w:type="dxa" w:w="1814"/>
            <w:shd w:val="clear" w:color="auto" w:fill="FFFFFF"/>
          </w:tcPr>
          <w:p>
            <w:pPr>
              <w:jc w:val="center"/>
            </w:pPr>
            <w:r/>
            <w:r>
              <w:rPr>
                <w:b w:val="0"/>
                <w:i w:val="0"/>
                <w:color w:val="1A1A1A"/>
                <w:sz w:val="18"/>
              </w:rPr>
              <w:t>R100,000</w:t>
            </w:r>
          </w:p>
        </w:tc>
        <w:tc>
          <w:tcPr>
            <w:tcW w:type="dxa" w:w="2041"/>
            <w:shd w:val="clear" w:color="auto" w:fill="FFFFFF"/>
          </w:tcPr>
          <w:p>
            <w:pPr>
              <w:jc w:val="center"/>
            </w:pPr>
            <w:r/>
            <w:r>
              <w:rPr>
                <w:b w:val="0"/>
                <w:i w:val="0"/>
                <w:color w:val="1A1A1A"/>
                <w:sz w:val="18"/>
              </w:rPr>
              <w:t>R270,000</w:t>
            </w:r>
          </w:p>
        </w:tc>
        <w:tc>
          <w:tcPr>
            <w:tcW w:type="dxa" w:w="1928"/>
            <w:shd w:val="clear" w:color="auto" w:fill="FFFFFF"/>
          </w:tcPr>
          <w:p>
            <w:pPr>
              <w:jc w:val="center"/>
            </w:pPr>
            <w:r/>
            <w:r>
              <w:rPr>
                <w:b/>
                <w:i w:val="0"/>
                <w:color w:val="1A1A1A"/>
                <w:sz w:val="18"/>
              </w:rPr>
              <w:t>R370,000</w:t>
            </w:r>
          </w:p>
        </w:tc>
        <w:tc>
          <w:tcPr>
            <w:tcW w:type="dxa" w:w="1247"/>
            <w:shd w:val="clear" w:color="auto" w:fill="FFFFFF"/>
          </w:tcPr>
          <w:p>
            <w:pPr>
              <w:jc w:val="center"/>
            </w:pPr>
            <w:r/>
            <w:r>
              <w:rPr>
                <w:b/>
                <w:i w:val="0"/>
                <w:color w:val="1A1A1A"/>
                <w:sz w:val="18"/>
              </w:rPr>
              <w:t>37.0%</w:t>
            </w:r>
          </w:p>
        </w:tc>
      </w:tr>
      <w:tr>
        <w:tc>
          <w:tcPr>
            <w:tcW w:type="dxa" w:w="1474"/>
            <w:shd w:val="clear" w:color="auto" w:fill="F5EBC8"/>
          </w:tcPr>
          <w:p>
            <w:pPr>
              <w:jc w:val="center"/>
            </w:pPr>
            <w:r/>
            <w:r>
              <w:rPr>
                <w:b w:val="0"/>
                <w:i w:val="0"/>
                <w:color w:val="1A1A1A"/>
                <w:sz w:val="18"/>
              </w:rPr>
              <w:t>40%</w:t>
            </w:r>
          </w:p>
        </w:tc>
        <w:tc>
          <w:tcPr>
            <w:tcW w:type="dxa" w:w="1814"/>
            <w:shd w:val="clear" w:color="auto" w:fill="F5EBC8"/>
          </w:tcPr>
          <w:p>
            <w:pPr>
              <w:jc w:val="center"/>
            </w:pPr>
            <w:r/>
            <w:r>
              <w:rPr>
                <w:b w:val="0"/>
                <w:i w:val="0"/>
                <w:color w:val="1A1A1A"/>
                <w:sz w:val="18"/>
              </w:rPr>
              <w:t>R100,000</w:t>
            </w:r>
          </w:p>
        </w:tc>
        <w:tc>
          <w:tcPr>
            <w:tcW w:type="dxa" w:w="2041"/>
            <w:shd w:val="clear" w:color="auto" w:fill="F5EBC8"/>
          </w:tcPr>
          <w:p>
            <w:pPr>
              <w:jc w:val="center"/>
            </w:pPr>
            <w:r/>
            <w:r>
              <w:rPr>
                <w:b w:val="0"/>
                <w:i w:val="0"/>
                <w:color w:val="1A1A1A"/>
                <w:sz w:val="18"/>
              </w:rPr>
              <w:t>R360,000</w:t>
            </w:r>
          </w:p>
        </w:tc>
        <w:tc>
          <w:tcPr>
            <w:tcW w:type="dxa" w:w="1928"/>
            <w:shd w:val="clear" w:color="auto" w:fill="F5EBC8"/>
          </w:tcPr>
          <w:p>
            <w:pPr>
              <w:jc w:val="center"/>
            </w:pPr>
            <w:r/>
            <w:r>
              <w:rPr>
                <w:b/>
                <w:i w:val="0"/>
                <w:color w:val="1A1A1A"/>
                <w:sz w:val="18"/>
              </w:rPr>
              <w:t>R460,000</w:t>
            </w:r>
          </w:p>
        </w:tc>
        <w:tc>
          <w:tcPr>
            <w:tcW w:type="dxa" w:w="1247"/>
            <w:shd w:val="clear" w:color="auto" w:fill="F5EBC8"/>
          </w:tcPr>
          <w:p>
            <w:pPr>
              <w:jc w:val="center"/>
            </w:pPr>
            <w:r/>
            <w:r>
              <w:rPr>
                <w:b/>
                <w:i w:val="0"/>
                <w:color w:val="1A1A1A"/>
                <w:sz w:val="18"/>
              </w:rPr>
              <w:t>46.0%</w:t>
            </w:r>
          </w:p>
        </w:tc>
      </w:tr>
    </w:tbl>
    <w:p>
      <w:pPr>
        <w:spacing w:before="40" w:after="80"/>
      </w:pPr>
      <w:r>
        <w:rPr>
          <w:b w:val="0"/>
          <w:i/>
          <w:color w:val="555555"/>
          <w:sz w:val="18"/>
        </w:rPr>
        <w:t>Reading the last row: at 40% equity, Simon receives R100,000 (the 10% innovation share) PLUS R360,000 (his 40% equity share of the remaining R900,000) = R460,000, or 46% of the whole R1,000,000 stream. Davin receives the other R540,000 (54%). The formula is: Simon's effective share = innovation% + equity% × (1 − innovation%).</w:t>
      </w:r>
    </w:p>
    <w:p>
      <w:pPr>
        <w:spacing w:before="40" w:after="80"/>
      </w:pPr>
      <w:r>
        <w:rPr>
          <w:b/>
          <w:i w:val="0"/>
          <w:color w:val="1A1A1A"/>
          <w:sz w:val="20"/>
        </w:rPr>
        <w:t>Three ways to structure this — choose one when negotiating:</w:t>
      </w:r>
    </w:p>
    <w:p>
      <w:pPr>
        <w:keepNext/>
        <w:spacing w:before="280" w:after="80"/>
      </w:pPr>
      <w:r>
        <w:rPr>
          <w:rFonts w:ascii="Calibri" w:hAnsi="Calibri"/>
          <w:b/>
          <w:color w:val="C9A227"/>
          <w:sz w:val="28"/>
        </w:rPr>
        <w:t>8.4  STRUCTURAL OPTIONS FOR THE INSIDE-BITWEALTH CASE</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Structure A — Stacked at 10% (the agreed inside-BitWealth rate)</w:t>
            </w:r>
          </w:p>
        </w:tc>
        <w:tc>
          <w:tcPr>
            <w:tcW w:type="dxa" w:w="6633"/>
            <w:shd w:val="clear" w:color="auto" w:fill="F5F5F5"/>
          </w:tcPr>
          <w:p>
            <w:pPr>
              <w:spacing w:before="20" w:after="40"/>
            </w:pPr>
            <w:r/>
            <w:r>
              <w:rPr>
                <w:color w:val="1A1A1A"/>
                <w:sz w:val="20"/>
              </w:rPr>
              <w:t>Simon gets a 10% innovation share PLUS equity dividend on the residual 90%. His effective share of the stream rises with his equity (19% at 10% equity → 46% at 40% equity), per the worked example in 8.3.</w:t>
            </w:r>
          </w:p>
          <w:p>
            <w:pPr>
              <w:spacing w:before="20" w:after="40"/>
            </w:pPr>
            <w:r>
              <w:rPr>
                <w:b/>
                <w:color w:val="1A1A1A"/>
                <w:sz w:val="20"/>
              </w:rPr>
              <w:t>ADVANTAGE: simple; rewards Simon's origination and effort.</w:t>
            </w:r>
          </w:p>
          <w:p>
            <w:pPr>
              <w:spacing w:before="20" w:after="40"/>
            </w:pPr>
            <w:r>
              <w:rPr>
                <w:b/>
                <w:color w:val="1A1A1A"/>
                <w:sz w:val="20"/>
              </w:rPr>
              <w:t>DISADVANTAGE: Simon captures more than his equity % of that stream.</w:t>
            </w:r>
          </w:p>
        </w:tc>
      </w:tr>
      <w:tr>
        <w:tc>
          <w:tcPr>
            <w:tcW w:type="dxa" w:w="2721"/>
            <w:shd w:val="clear" w:color="auto" w:fill="FFFFFF"/>
          </w:tcPr>
          <w:p>
            <w:r/>
            <w:r>
              <w:rPr>
                <w:b/>
                <w:i w:val="0"/>
                <w:color w:val="1A1A1A"/>
                <w:sz w:val="20"/>
              </w:rPr>
              <w:t>Structure B — A different rate (only if renegotiated)</w:t>
            </w:r>
          </w:p>
        </w:tc>
        <w:tc>
          <w:tcPr>
            <w:tcW w:type="dxa" w:w="6633"/>
            <w:shd w:val="clear" w:color="auto" w:fill="FFFFFF"/>
          </w:tcPr>
          <w:p>
            <w:pPr>
              <w:spacing w:before="20" w:after="40"/>
            </w:pPr>
            <w:r/>
            <w:r>
              <w:rPr>
                <w:color w:val="1A1A1A"/>
                <w:sz w:val="20"/>
              </w:rPr>
              <w:t>The parties could agree a different innovation rate for a particular stream. Any departure from the default 10% must be agreed in writing before the stream launches.</w:t>
            </w:r>
          </w:p>
          <w:p>
            <w:pPr>
              <w:spacing w:before="20" w:after="40"/>
            </w:pPr>
            <w:r>
              <w:rPr>
                <w:b/>
                <w:color w:val="1A1A1A"/>
                <w:sz w:val="20"/>
              </w:rPr>
              <w:t>ADVANTAGE: flexibility per stream.</w:t>
            </w:r>
          </w:p>
          <w:p>
            <w:pPr>
              <w:spacing w:before="20" w:after="40"/>
            </w:pPr>
            <w:r>
              <w:rPr>
                <w:b/>
                <w:color w:val="1A1A1A"/>
                <w:sz w:val="20"/>
              </w:rPr>
              <w:t>DISADVANTAGE: renegotiation each time; still stacks on equity.</w:t>
            </w:r>
          </w:p>
        </w:tc>
      </w:tr>
      <w:tr>
        <w:tc>
          <w:tcPr>
            <w:tcW w:type="dxa" w:w="2721"/>
            <w:shd w:val="clear" w:color="auto" w:fill="F5F5F5"/>
          </w:tcPr>
          <w:p>
            <w:r/>
            <w:r>
              <w:rPr>
                <w:b/>
                <w:i w:val="0"/>
                <w:color w:val="1A1A1A"/>
                <w:sz w:val="20"/>
              </w:rPr>
              <w:t>Structure C — NewCo (default preference)</w:t>
            </w:r>
          </w:p>
        </w:tc>
        <w:tc>
          <w:tcPr>
            <w:tcW w:type="dxa" w:w="6633"/>
            <w:shd w:val="clear" w:color="auto" w:fill="F5F5F5"/>
          </w:tcPr>
          <w:p>
            <w:pPr>
              <w:spacing w:before="20" w:after="40"/>
            </w:pPr>
            <w:r/>
            <w:r>
              <w:rPr>
                <w:color w:val="1A1A1A"/>
                <w:sz w:val="20"/>
              </w:rPr>
              <w:t>Put the new stream in a NewCo and negotiate a single, clean split that IS Simon's whole entitlement (see Clause 8.1 — 20% floor, 45% ceiling). No stacking, no ring-fence accounting.</w:t>
            </w:r>
          </w:p>
          <w:p>
            <w:pPr>
              <w:spacing w:before="20" w:after="40"/>
            </w:pPr>
            <w:r>
              <w:rPr>
                <w:b/>
                <w:color w:val="1A1A1A"/>
                <w:sz w:val="20"/>
              </w:rPr>
              <w:t>ADVANTAGE: cleanest; avoids all double-benefit ambiguity; each venture stands alone.</w:t>
            </w:r>
          </w:p>
          <w:p>
            <w:pPr>
              <w:spacing w:before="20" w:after="40"/>
            </w:pPr>
            <w:r>
              <w:rPr>
                <w:b/>
                <w:color w:val="1A1A1A"/>
                <w:sz w:val="20"/>
              </w:rPr>
              <w:t>DISADVANTAGE: administrative cost of a second company.</w:t>
            </w:r>
          </w:p>
        </w:tc>
      </w:tr>
      <w:tr>
        <w:tc>
          <w:tcPr>
            <w:tcW w:type="dxa" w:w="2721"/>
            <w:shd w:val="clear" w:color="auto" w:fill="FFFFFF"/>
          </w:tcPr>
          <w:p>
            <w:r/>
            <w:r>
              <w:rPr>
                <w:b/>
                <w:i w:val="0"/>
                <w:color w:val="1A1A1A"/>
                <w:sz w:val="20"/>
              </w:rPr>
              <w:t>Recommended — AGREED APPROACH</w:t>
            </w:r>
          </w:p>
        </w:tc>
        <w:tc>
          <w:tcPr>
            <w:tcW w:type="dxa" w:w="6633"/>
            <w:shd w:val="clear" w:color="auto" w:fill="FFFFFF"/>
          </w:tcPr>
          <w:p>
            <w:pPr>
              <w:spacing w:before="20" w:after="40"/>
            </w:pPr>
            <w:r/>
            <w:r>
              <w:rPr>
                <w:color w:val="1A1A1A"/>
                <w:sz w:val="20"/>
              </w:rPr>
              <w:t>Default to Structure C (NewCo) for anything separable. If a non-AUM stream must live inside BitWealth, apply a fixed 10% innovation rate (Structure A), with both parties acknowledging that it stacks on Simon's equity dividend (per the worked example in 8.3).</w:t>
            </w:r>
          </w:p>
        </w:tc>
      </w:tr>
    </w:tbl>
    <w:p>
      <w:pPr>
        <w:spacing w:after="80"/>
      </w:pPr>
    </w:p>
    <w:p>
      <w:pPr>
        <w:keepNext/>
        <w:spacing w:before="280" w:after="80"/>
      </w:pPr>
      <w:r>
        <w:rPr>
          <w:rFonts w:ascii="Calibri" w:hAnsi="Calibri"/>
          <w:b/>
          <w:color w:val="C9A227"/>
          <w:sz w:val="28"/>
        </w:rPr>
        <w:t>8.5  RECIPROCITY &amp; ANTI-CIRCUMVENTION</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Reciprocal</w:t>
            </w:r>
          </w:p>
        </w:tc>
        <w:tc>
          <w:tcPr>
            <w:tcW w:type="dxa" w:w="6633"/>
            <w:shd w:val="clear" w:color="auto" w:fill="F5F5F5"/>
          </w:tcPr>
          <w:p>
            <w:pPr>
              <w:spacing w:before="20" w:after="40"/>
            </w:pPr>
            <w:r/>
            <w:r>
              <w:rPr>
                <w:color w:val="1A1A1A"/>
                <w:sz w:val="20"/>
              </w:rPr>
              <w:t>The same framework applies to Davin- or third-party-originated ventures: Simon has no revenue-share claim over a non-AUM stream he did not originate and does not lead.</w:t>
            </w:r>
          </w:p>
        </w:tc>
      </w:tr>
      <w:tr>
        <w:tc>
          <w:tcPr>
            <w:tcW w:type="dxa" w:w="2721"/>
            <w:shd w:val="clear" w:color="auto" w:fill="FFFFFF"/>
          </w:tcPr>
          <w:p>
            <w:r/>
            <w:r>
              <w:rPr>
                <w:b/>
                <w:i w:val="0"/>
                <w:color w:val="1A1A1A"/>
                <w:sz w:val="20"/>
              </w:rPr>
              <w:t>Anti-circumvention</w:t>
            </w:r>
          </w:p>
        </w:tc>
        <w:tc>
          <w:tcPr>
            <w:tcW w:type="dxa" w:w="6633"/>
            <w:shd w:val="clear" w:color="auto" w:fill="FFFFFF"/>
          </w:tcPr>
          <w:p>
            <w:pPr>
              <w:spacing w:before="20" w:after="40"/>
            </w:pPr>
            <w:r/>
            <w:r>
              <w:rPr>
                <w:color w:val="1A1A1A"/>
                <w:sz w:val="20"/>
              </w:rPr>
              <w:t>Neither party may re-label core BitWealth AUM revenue as a 'new stream' to avoid the other's legitimate share. Characterisation disputes go to independent expert determination.</w:t>
            </w:r>
          </w:p>
        </w:tc>
      </w:tr>
    </w:tbl>
    <w:p>
      <w:pPr>
        <w:spacing w:after="80"/>
      </w:pPr>
    </w:p>
    <w:p>
      <w:r>
        <w:br w:type="page"/>
      </w:r>
    </w:p>
    <w:p>
      <w:pPr>
        <w:keepNext/>
        <w:spacing w:before="280" w:after="80"/>
      </w:pPr>
      <w:r>
        <w:rPr>
          <w:rFonts w:ascii="Calibri" w:hAnsi="Calibri"/>
          <w:b/>
          <w:color w:val="C9A227"/>
          <w:sz w:val="28"/>
        </w:rPr>
        <w:t>9.  FSP ARRANGEMENT, FEE TRANSPARENCY &amp; RESERVED MATTERS</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FSP Terms</w:t>
            </w:r>
          </w:p>
        </w:tc>
        <w:tc>
          <w:tcPr>
            <w:tcW w:type="dxa" w:w="6633"/>
            <w:shd w:val="clear" w:color="auto" w:fill="F5F5F5"/>
          </w:tcPr>
          <w:p>
            <w:pPr>
              <w:spacing w:before="20" w:after="40"/>
            </w:pPr>
            <w:r/>
            <w:r>
              <w:rPr>
                <w:color w:val="1A1A1A"/>
                <w:sz w:val="20"/>
              </w:rPr>
              <w:t>Finova Capital (FSP No. 21095): 20% of performance fees + 50% of platform fees payable to Finova; no fixed monthly hosting fee.</w:t>
            </w:r>
          </w:p>
        </w:tc>
      </w:tr>
      <w:tr>
        <w:tc>
          <w:tcPr>
            <w:tcW w:type="dxa" w:w="2721"/>
            <w:shd w:val="clear" w:color="auto" w:fill="FFFFFF"/>
          </w:tcPr>
          <w:p>
            <w:r/>
            <w:r>
              <w:rPr>
                <w:b/>
                <w:i w:val="0"/>
                <w:color w:val="1A1A1A"/>
                <w:sz w:val="20"/>
              </w:rPr>
              <w:t>Fee Transparency</w:t>
            </w:r>
          </w:p>
        </w:tc>
        <w:tc>
          <w:tcPr>
            <w:tcW w:type="dxa" w:w="6633"/>
            <w:shd w:val="clear" w:color="auto" w:fill="FFFFFF"/>
          </w:tcPr>
          <w:p>
            <w:pPr>
              <w:spacing w:before="20" w:after="40"/>
            </w:pPr>
            <w:r/>
            <w:r>
              <w:rPr>
                <w:color w:val="1A1A1A"/>
                <w:sz w:val="20"/>
              </w:rPr>
              <w:t>The Company will share a full fee/profitability model showing net economics after the Finova revenue share.</w:t>
            </w:r>
          </w:p>
        </w:tc>
      </w:tr>
      <w:tr>
        <w:tc>
          <w:tcPr>
            <w:tcW w:type="dxa" w:w="2721"/>
            <w:shd w:val="clear" w:color="auto" w:fill="F5F5F5"/>
          </w:tcPr>
          <w:p>
            <w:r/>
            <w:r>
              <w:rPr>
                <w:b/>
                <w:i w:val="0"/>
                <w:color w:val="1A1A1A"/>
                <w:sz w:val="20"/>
              </w:rPr>
              <w:t>Reserved Matters</w:t>
            </w:r>
          </w:p>
        </w:tc>
        <w:tc>
          <w:tcPr>
            <w:tcW w:type="dxa" w:w="6633"/>
            <w:shd w:val="clear" w:color="auto" w:fill="F5F5F5"/>
          </w:tcPr>
          <w:p>
            <w:pPr>
              <w:spacing w:before="20" w:after="40"/>
            </w:pPr>
            <w:r/>
            <w:r>
              <w:rPr>
                <w:color w:val="1A1A1A"/>
                <w:sz w:val="20"/>
              </w:rPr>
              <w:t>A 10% holder will NOT have a veto over operational/strategic decisions (FSP, exchange, custody, execution). Instead:</w:t>
            </w:r>
          </w:p>
          <w:p>
            <w:pPr>
              <w:spacing w:before="20" w:after="40"/>
            </w:pPr>
            <w:r>
              <w:rPr>
                <w:b/>
                <w:color w:val="1A1A1A"/>
                <w:sz w:val="20"/>
              </w:rPr>
              <w:t>(a) consultation rights on material changes;</w:t>
            </w:r>
          </w:p>
          <w:p>
            <w:pPr>
              <w:spacing w:before="20" w:after="40"/>
            </w:pPr>
            <w:r>
              <w:rPr>
                <w:b/>
                <w:color w:val="1A1A1A"/>
                <w:sz w:val="20"/>
              </w:rPr>
              <w:t>(b) an anti-prejudice covenant — no change may be made for the purpose of, or with the effect of, reducing Simon's economic entitlement below its then-current basis without his consent;</w:t>
            </w:r>
          </w:p>
          <w:p>
            <w:pPr>
              <w:spacing w:before="20" w:after="40"/>
            </w:pPr>
            <w:r>
              <w:rPr>
                <w:b/>
                <w:color w:val="1A1A1A"/>
                <w:sz w:val="20"/>
              </w:rPr>
              <w:t>(c) genuine reserved-matter consent rights that apply only once Simon holds 25% or more.</w:t>
            </w:r>
          </w:p>
        </w:tc>
      </w:tr>
      <w:tr>
        <w:tc>
          <w:tcPr>
            <w:tcW w:type="dxa" w:w="2721"/>
            <w:shd w:val="clear" w:color="auto" w:fill="FFFFFF"/>
          </w:tcPr>
          <w:p>
            <w:r/>
            <w:r>
              <w:rPr>
                <w:b/>
                <w:i w:val="0"/>
                <w:color w:val="1A1A1A"/>
                <w:sz w:val="20"/>
              </w:rPr>
              <w:t>Regulatory Risk</w:t>
            </w:r>
          </w:p>
        </w:tc>
        <w:tc>
          <w:tcPr>
            <w:tcW w:type="dxa" w:w="6633"/>
            <w:shd w:val="clear" w:color="auto" w:fill="FFFFFF"/>
          </w:tcPr>
          <w:p>
            <w:pPr>
              <w:spacing w:before="20" w:after="40"/>
            </w:pPr>
            <w:r/>
            <w:r>
              <w:rPr>
                <w:color w:val="1A1A1A"/>
                <w:sz w:val="20"/>
              </w:rPr>
              <w:t>Simon acknowledges the JR arrangement is subject to regulatory approval and ongoing compliance; loss of JR status would materially impact the Company.</w:t>
            </w:r>
          </w:p>
        </w:tc>
      </w:tr>
    </w:tbl>
    <w:p>
      <w:pPr>
        <w:spacing w:after="80"/>
      </w:pPr>
    </w:p>
    <w:p>
      <w:pPr>
        <w:keepNext/>
        <w:spacing w:before="280" w:after="80"/>
      </w:pPr>
      <w:r>
        <w:rPr>
          <w:rFonts w:ascii="Calibri" w:hAnsi="Calibri"/>
          <w:b/>
          <w:color w:val="C9A227"/>
          <w:sz w:val="28"/>
        </w:rPr>
        <w:t>10.  GOOD LEAVER, BAD LEAVER &amp; MUTUAL PROTECTIONS</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Reciprocal application</w:t>
            </w:r>
          </w:p>
        </w:tc>
        <w:tc>
          <w:tcPr>
            <w:tcW w:type="dxa" w:w="6633"/>
            <w:shd w:val="clear" w:color="auto" w:fill="F5F5F5"/>
          </w:tcPr>
          <w:p>
            <w:pPr>
              <w:spacing w:before="20" w:after="40"/>
            </w:pPr>
            <w:r/>
            <w:r>
              <w:rPr>
                <w:color w:val="1A1A1A"/>
                <w:sz w:val="20"/>
              </w:rPr>
              <w:t>The Good Leaver and Bad Leaver principles in this Clause apply EQUALLY and RECIPROCALLY to BOTH Parties (Davin and Simon). Each reference to a Party 'leaving' means that Party ceasing to be actively involved in the Company. Neither Party enjoys protections the other does not.</w:t>
            </w:r>
          </w:p>
        </w:tc>
      </w:tr>
      <w:tr>
        <w:tc>
          <w:tcPr>
            <w:tcW w:type="dxa" w:w="2721"/>
            <w:shd w:val="clear" w:color="auto" w:fill="FFFFFF"/>
          </w:tcPr>
          <w:p>
            <w:r/>
            <w:r>
              <w:rPr>
                <w:b/>
                <w:i w:val="0"/>
                <w:color w:val="1A1A1A"/>
                <w:sz w:val="20"/>
              </w:rPr>
              <w:t>Good Leaver</w:t>
            </w:r>
          </w:p>
        </w:tc>
        <w:tc>
          <w:tcPr>
            <w:tcW w:type="dxa" w:w="6633"/>
            <w:shd w:val="clear" w:color="auto" w:fill="FFFFFF"/>
          </w:tcPr>
          <w:p>
            <w:pPr>
              <w:spacing w:before="20" w:after="40"/>
            </w:pPr>
            <w:r/>
            <w:r>
              <w:rPr>
                <w:color w:val="1A1A1A"/>
                <w:sz w:val="20"/>
              </w:rPr>
              <w:t>A Party is a Good Leaver on: death or permanent disability; retirement; removal/termination without cause; constructive dismissal; a material reduction of that Party's agreed role; the other Party or the Company failing to provide agreed support; loss of FSP/JR status not caused by that Party; or a material breach by the other Party or the Company.</w:t>
            </w:r>
          </w:p>
          <w:p>
            <w:pPr>
              <w:spacing w:before="20" w:after="40"/>
            </w:pPr>
            <w:r>
              <w:rPr>
                <w:color w:val="1A1A1A"/>
                <w:sz w:val="20"/>
              </w:rPr>
              <w:t>Consequence: the Good Leaver retains ALL vested/earned shares; for Simon, unearned tranches follow Clause 7.</w:t>
            </w:r>
          </w:p>
        </w:tc>
      </w:tr>
      <w:tr>
        <w:tc>
          <w:tcPr>
            <w:tcW w:type="dxa" w:w="2721"/>
            <w:shd w:val="clear" w:color="auto" w:fill="F5F5F5"/>
          </w:tcPr>
          <w:p>
            <w:r/>
            <w:r>
              <w:rPr>
                <w:b/>
                <w:i w:val="0"/>
                <w:color w:val="1A1A1A"/>
                <w:sz w:val="20"/>
              </w:rPr>
              <w:t>Bad Leaver</w:t>
            </w:r>
          </w:p>
        </w:tc>
        <w:tc>
          <w:tcPr>
            <w:tcW w:type="dxa" w:w="6633"/>
            <w:shd w:val="clear" w:color="auto" w:fill="F5F5F5"/>
          </w:tcPr>
          <w:p>
            <w:pPr>
              <w:spacing w:before="20" w:after="40"/>
            </w:pPr>
            <w:r/>
            <w:r>
              <w:rPr>
                <w:color w:val="1A1A1A"/>
                <w:sz w:val="20"/>
              </w:rPr>
              <w:t>A Party is a Bad Leaver ONLY on proven fraud, theft, dishonesty, wilful misconduct, gross negligence, or a final (non-appealable) regulatory finding against that Party.</w:t>
            </w:r>
          </w:p>
        </w:tc>
      </w:tr>
      <w:tr>
        <w:tc>
          <w:tcPr>
            <w:tcW w:type="dxa" w:w="2721"/>
            <w:shd w:val="clear" w:color="auto" w:fill="FFFFFF"/>
          </w:tcPr>
          <w:p>
            <w:r/>
            <w:r>
              <w:rPr>
                <w:b/>
                <w:i w:val="0"/>
                <w:color w:val="1A1A1A"/>
                <w:sz w:val="20"/>
              </w:rPr>
              <w:t>Bad Leaver consequence</w:t>
            </w:r>
          </w:p>
        </w:tc>
        <w:tc>
          <w:tcPr>
            <w:tcW w:type="dxa" w:w="6633"/>
            <w:shd w:val="clear" w:color="auto" w:fill="FFFFFF"/>
          </w:tcPr>
          <w:p>
            <w:pPr>
              <w:spacing w:before="20" w:after="40"/>
            </w:pPr>
            <w:r/>
            <w:r>
              <w:rPr>
                <w:color w:val="1A1A1A"/>
                <w:sz w:val="20"/>
              </w:rPr>
              <w:t>For the Bad Leaver: any UNEARNED/unvested equity lapses; EARNED shares are bought at fair market value, EXCEPT where the trigger is fraud/theft/dishonesty (then at par, R1/share). Any forced transfer requires prior INDEPENDENT determination by an auditor/expert or arbitrator — NEITHER Party may unilaterally declare the other a Bad Leaver.</w:t>
            </w:r>
          </w:p>
        </w:tc>
      </w:tr>
      <w:tr>
        <w:tc>
          <w:tcPr>
            <w:tcW w:type="dxa" w:w="2721"/>
            <w:shd w:val="clear" w:color="auto" w:fill="F5F5F5"/>
          </w:tcPr>
          <w:p>
            <w:r/>
            <w:r>
              <w:rPr>
                <w:b/>
                <w:i w:val="0"/>
                <w:color w:val="1A1A1A"/>
                <w:sz w:val="20"/>
              </w:rPr>
              <w:t>Anti-reclassification / anti-expropriation</w:t>
            </w:r>
          </w:p>
        </w:tc>
        <w:tc>
          <w:tcPr>
            <w:tcW w:type="dxa" w:w="6633"/>
            <w:shd w:val="clear" w:color="auto" w:fill="F5F5F5"/>
          </w:tcPr>
          <w:p>
            <w:pPr>
              <w:spacing w:before="20" w:after="40"/>
            </w:pPr>
            <w:r/>
            <w:r>
              <w:rPr>
                <w:color w:val="1A1A1A"/>
                <w:sz w:val="20"/>
              </w:rPr>
              <w:t>Neither Party's shares may be reclassified, converted, recharacterised (including into any share-incentive or employee scheme), diluted, cancelled, repurchased, or otherwise expropriated without that Party's prior WRITTEN consent. Any purported action in breach of this provision is void. This protects each Party from the other attempting to remove them by recharacterising their ownership.</w:t>
            </w:r>
          </w:p>
        </w:tc>
      </w:tr>
      <w:tr>
        <w:tc>
          <w:tcPr>
            <w:tcW w:type="dxa" w:w="2721"/>
            <w:shd w:val="clear" w:color="auto" w:fill="FFFFFF"/>
          </w:tcPr>
          <w:p>
            <w:r/>
            <w:r>
              <w:rPr>
                <w:b/>
                <w:i w:val="0"/>
                <w:color w:val="1A1A1A"/>
                <w:sz w:val="20"/>
              </w:rPr>
              <w:t>Founder continuity safeguard</w:t>
            </w:r>
          </w:p>
        </w:tc>
        <w:tc>
          <w:tcPr>
            <w:tcW w:type="dxa" w:w="6633"/>
            <w:shd w:val="clear" w:color="auto" w:fill="FFFFFF"/>
          </w:tcPr>
          <w:p>
            <w:pPr>
              <w:spacing w:before="20" w:after="40"/>
            </w:pPr>
            <w:r/>
            <w:r>
              <w:rPr>
                <w:color w:val="1A1A1A"/>
                <w:sz w:val="20"/>
              </w:rPr>
              <w:t>If Davin is a Good Leaver (including death or incapacity), Simon shall retain full access to all IP, systems and credentials (Clause 2) to enable continued operation of the Company, and the business-continuity measures in Clause 2 shall apply so that Simon is not left unable to run the business.</w:t>
            </w:r>
          </w:p>
        </w:tc>
      </w:tr>
      <w:tr>
        <w:tc>
          <w:tcPr>
            <w:tcW w:type="dxa" w:w="2721"/>
            <w:shd w:val="clear" w:color="auto" w:fill="F5F5F5"/>
          </w:tcPr>
          <w:p>
            <w:r/>
            <w:r>
              <w:rPr>
                <w:b/>
                <w:i w:val="0"/>
                <w:color w:val="1A1A1A"/>
                <w:sz w:val="20"/>
              </w:rPr>
              <w:t>Restraint on competing re-launch</w:t>
            </w:r>
          </w:p>
        </w:tc>
        <w:tc>
          <w:tcPr>
            <w:tcW w:type="dxa" w:w="6633"/>
            <w:shd w:val="clear" w:color="auto" w:fill="F5F5F5"/>
          </w:tcPr>
          <w:p>
            <w:pPr>
              <w:spacing w:before="20" w:after="40"/>
            </w:pPr>
            <w:r/>
            <w:r>
              <w:rPr>
                <w:color w:val="1A1A1A"/>
                <w:sz w:val="20"/>
              </w:rPr>
              <w:t>A Party who exits as a Bad Leaver, or whose earned shares are bought back, shall not (directly or indirectly) re-launch, replicate, or operate the BitWealth LTH PVR strategy or a materially similar Bitcoin DCA strategy under any other name for 24 months, within South Africa, and shall not use the Company's confidential information or IP to do so. All IP remains owned by the Company. This addresses the risk of a departing founder re-starting the strategy under a new name.</w:t>
            </w:r>
          </w:p>
        </w:tc>
      </w:tr>
      <w:tr>
        <w:tc>
          <w:tcPr>
            <w:tcW w:type="dxa" w:w="2721"/>
            <w:shd w:val="clear" w:color="auto" w:fill="FFFFFF"/>
          </w:tcPr>
          <w:p>
            <w:r/>
            <w:r>
              <w:rPr>
                <w:b/>
                <w:i w:val="0"/>
                <w:color w:val="1A1A1A"/>
                <w:sz w:val="20"/>
              </w:rPr>
              <w:t>Clawback — narrowed + reciprocal</w:t>
            </w:r>
          </w:p>
        </w:tc>
        <w:tc>
          <w:tcPr>
            <w:tcW w:type="dxa" w:w="6633"/>
            <w:shd w:val="clear" w:color="auto" w:fill="FFFFFF"/>
          </w:tcPr>
          <w:p>
            <w:pPr>
              <w:spacing w:before="20" w:after="40"/>
            </w:pPr>
            <w:r/>
            <w:r>
              <w:rPr>
                <w:color w:val="1A1A1A"/>
                <w:sz w:val="20"/>
              </w:rPr>
              <w:t>Clawback applies only to losses caused by a Party's wilful misconduct, fraud, gross negligence, or proven regulatory breach. Reciprocally, if a Party's or the Company's acts or omissions cause loss of JR/FSP status or damage client relationships, the other Party is treated as a Good Leaver.</w:t>
            </w:r>
          </w:p>
        </w:tc>
      </w:tr>
    </w:tbl>
    <w:p>
      <w:pPr>
        <w:spacing w:after="80"/>
      </w:pPr>
    </w:p>
    <w:p>
      <w:pPr>
        <w:keepNext/>
        <w:spacing w:before="280" w:after="80"/>
      </w:pPr>
      <w:r>
        <w:rPr>
          <w:rFonts w:ascii="Calibri" w:hAnsi="Calibri"/>
          <w:b/>
          <w:color w:val="C9A227"/>
          <w:sz w:val="28"/>
        </w:rPr>
        <w:t>11.  CONFIDENTIALITY, NON-SOLICITATION, DRAG &amp; TAG</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Non-compete removed</w:t>
            </w:r>
          </w:p>
        </w:tc>
        <w:tc>
          <w:tcPr>
            <w:tcW w:type="dxa" w:w="6633"/>
            <w:shd w:val="clear" w:color="auto" w:fill="F5F5F5"/>
          </w:tcPr>
          <w:p>
            <w:pPr>
              <w:spacing w:before="20" w:after="40"/>
            </w:pPr>
            <w:r/>
            <w:r>
              <w:rPr>
                <w:color w:val="1A1A1A"/>
                <w:sz w:val="20"/>
              </w:rPr>
              <w:t>The broad non-compete is removed. Replaced with (i) confidentiality and (ii) non-solicitation of clients Simon actually dealt with and of staff, for 12 months post-exit, within South Africa.</w:t>
            </w:r>
          </w:p>
        </w:tc>
      </w:tr>
      <w:tr>
        <w:tc>
          <w:tcPr>
            <w:tcW w:type="dxa" w:w="2721"/>
            <w:shd w:val="clear" w:color="auto" w:fill="FFFFFF"/>
          </w:tcPr>
          <w:p>
            <w:r/>
            <w:r>
              <w:rPr>
                <w:b/>
                <w:i w:val="0"/>
                <w:color w:val="1A1A1A"/>
                <w:sz w:val="20"/>
              </w:rPr>
              <w:t>Drag-Along — with protections</w:t>
            </w:r>
          </w:p>
        </w:tc>
        <w:tc>
          <w:tcPr>
            <w:tcW w:type="dxa" w:w="6633"/>
            <w:shd w:val="clear" w:color="auto" w:fill="FFFFFF"/>
          </w:tcPr>
          <w:p>
            <w:pPr>
              <w:spacing w:before="20" w:after="40"/>
            </w:pPr>
            <w:r/>
            <w:r>
              <w:rPr>
                <w:color w:val="1A1A1A"/>
                <w:sz w:val="20"/>
              </w:rPr>
              <w:t>On a bona-fide sale of ≥ 75%, Simon must sell pro-rata on the SAME price and terms, with: cash-equivalent consideration; warranties limited to title and capacity; release from guarantees/liabilities; and no sale to a related party at an undervalue.</w:t>
            </w:r>
          </w:p>
        </w:tc>
      </w:tr>
      <w:tr>
        <w:tc>
          <w:tcPr>
            <w:tcW w:type="dxa" w:w="2721"/>
            <w:shd w:val="clear" w:color="auto" w:fill="F5F5F5"/>
          </w:tcPr>
          <w:p>
            <w:r/>
            <w:r>
              <w:rPr>
                <w:b/>
                <w:i w:val="0"/>
                <w:color w:val="1A1A1A"/>
                <w:sz w:val="20"/>
              </w:rPr>
              <w:t>Tag-Along</w:t>
            </w:r>
          </w:p>
        </w:tc>
        <w:tc>
          <w:tcPr>
            <w:tcW w:type="dxa" w:w="6633"/>
            <w:shd w:val="clear" w:color="auto" w:fill="F5F5F5"/>
          </w:tcPr>
          <w:p>
            <w:pPr>
              <w:spacing w:before="20" w:after="40"/>
            </w:pPr>
            <w:r/>
            <w:r>
              <w:rPr>
                <w:color w:val="1A1A1A"/>
                <w:sz w:val="20"/>
              </w:rPr>
              <w:t>If Davin sells more than 50% of his shares, Simon may include his shares on equivalent terms and the same price per share.</w:t>
            </w:r>
          </w:p>
        </w:tc>
      </w:tr>
    </w:tbl>
    <w:p>
      <w:pPr>
        <w:spacing w:after="80"/>
      </w:pPr>
    </w:p>
    <w:p>
      <w:pPr>
        <w:keepNext/>
        <w:spacing w:before="280" w:after="80"/>
      </w:pPr>
      <w:r>
        <w:rPr>
          <w:rFonts w:ascii="Calibri" w:hAnsi="Calibri"/>
          <w:b/>
          <w:color w:val="C9A227"/>
          <w:sz w:val="28"/>
        </w:rPr>
        <w:t>12.  PRE-EMPTIVE RIGHTS &amp; ANTI-CIRCUMVENTION</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Nature clarified</w:t>
            </w:r>
          </w:p>
        </w:tc>
        <w:tc>
          <w:tcPr>
            <w:tcW w:type="dxa" w:w="6633"/>
            <w:shd w:val="clear" w:color="auto" w:fill="F5F5F5"/>
          </w:tcPr>
          <w:p>
            <w:pPr>
              <w:spacing w:before="20" w:after="40"/>
            </w:pPr>
            <w:r/>
            <w:r>
              <w:rPr>
                <w:color w:val="1A1A1A"/>
                <w:sz w:val="20"/>
              </w:rPr>
              <w:t>Simon has PRO-RATA pre-emptive rights (a right of first offer on new share issues at the same price as the incoming subscriber) — not a full ratchet or weighted-average anti-dilution.</w:t>
            </w:r>
          </w:p>
        </w:tc>
      </w:tr>
      <w:tr>
        <w:tc>
          <w:tcPr>
            <w:tcW w:type="dxa" w:w="2721"/>
            <w:shd w:val="clear" w:color="auto" w:fill="FFFFFF"/>
          </w:tcPr>
          <w:p>
            <w:r/>
            <w:r>
              <w:rPr>
                <w:b/>
                <w:i w:val="0"/>
                <w:color w:val="1A1A1A"/>
                <w:sz w:val="20"/>
              </w:rPr>
              <w:t>Anti-circumvention</w:t>
            </w:r>
          </w:p>
        </w:tc>
        <w:tc>
          <w:tcPr>
            <w:tcW w:type="dxa" w:w="6633"/>
            <w:shd w:val="clear" w:color="auto" w:fill="FFFFFF"/>
          </w:tcPr>
          <w:p>
            <w:pPr>
              <w:spacing w:before="20" w:after="40"/>
            </w:pPr>
            <w:r/>
            <w:r>
              <w:rPr>
                <w:color w:val="1A1A1A"/>
                <w:sz w:val="20"/>
              </w:rPr>
              <w:t>No shares or options may be issued to Davin, associates, or staff below independently-determined fair value for the purpose of diluting Simon, without his consent.</w:t>
            </w:r>
          </w:p>
        </w:tc>
      </w:tr>
    </w:tbl>
    <w:p>
      <w:pPr>
        <w:spacing w:after="80"/>
      </w:pPr>
    </w:p>
    <w:p>
      <w:pPr>
        <w:keepNext/>
        <w:spacing w:before="280" w:after="80"/>
      </w:pPr>
      <w:r>
        <w:rPr>
          <w:rFonts w:ascii="Calibri" w:hAnsi="Calibri"/>
          <w:b/>
          <w:color w:val="C9A227"/>
          <w:sz w:val="28"/>
        </w:rPr>
        <w:t>13.  SHARE TRANSFER MECHANISM</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Transfer Method</w:t>
            </w:r>
          </w:p>
        </w:tc>
        <w:tc>
          <w:tcPr>
            <w:tcW w:type="dxa" w:w="6633"/>
            <w:shd w:val="clear" w:color="auto" w:fill="F5F5F5"/>
          </w:tcPr>
          <w:p>
            <w:pPr>
              <w:spacing w:before="20" w:after="40"/>
            </w:pPr>
            <w:r/>
            <w:r>
              <w:rPr>
                <w:color w:val="1A1A1A"/>
                <w:sz w:val="20"/>
              </w:rPr>
              <w:t>By share transfer form and update of the Company's share register, filed with CIPC where required under the Companies Act, 2008.</w:t>
            </w:r>
          </w:p>
        </w:tc>
      </w:tr>
      <w:tr>
        <w:tc>
          <w:tcPr>
            <w:tcW w:type="dxa" w:w="2721"/>
            <w:shd w:val="clear" w:color="auto" w:fill="FFFFFF"/>
          </w:tcPr>
          <w:p>
            <w:r/>
            <w:r>
              <w:rPr>
                <w:b/>
                <w:i w:val="0"/>
                <w:color w:val="1A1A1A"/>
                <w:sz w:val="20"/>
              </w:rPr>
              <w:t>Trigger Events</w:t>
            </w:r>
          </w:p>
        </w:tc>
        <w:tc>
          <w:tcPr>
            <w:tcW w:type="dxa" w:w="6633"/>
            <w:shd w:val="clear" w:color="auto" w:fill="FFFFFF"/>
          </w:tcPr>
          <w:p>
            <w:pPr>
              <w:spacing w:before="20" w:after="40"/>
            </w:pPr>
            <w:r/>
            <w:r>
              <w:rPr>
                <w:b/>
                <w:color w:val="1A1A1A"/>
                <w:sz w:val="20"/>
              </w:rPr>
              <w:t>(a) Signing (founding 10%); (b) Board confirmation of milestone achievement; or (c) a leaver event (Clause 10).</w:t>
            </w:r>
          </w:p>
        </w:tc>
      </w:tr>
      <w:tr>
        <w:tc>
          <w:tcPr>
            <w:tcW w:type="dxa" w:w="2721"/>
            <w:shd w:val="clear" w:color="auto" w:fill="F5F5F5"/>
          </w:tcPr>
          <w:p>
            <w:r/>
            <w:r>
              <w:rPr>
                <w:b/>
                <w:i w:val="0"/>
                <w:color w:val="1A1A1A"/>
                <w:sz w:val="20"/>
              </w:rPr>
              <w:t>Transfer Costs</w:t>
            </w:r>
          </w:p>
        </w:tc>
        <w:tc>
          <w:tcPr>
            <w:tcW w:type="dxa" w:w="6633"/>
            <w:shd w:val="clear" w:color="auto" w:fill="F5F5F5"/>
          </w:tcPr>
          <w:p>
            <w:pPr>
              <w:spacing w:before="20" w:after="40"/>
            </w:pPr>
            <w:r/>
            <w:r>
              <w:rPr>
                <w:color w:val="1A1A1A"/>
                <w:sz w:val="20"/>
              </w:rPr>
              <w:t>All costs, including any securities transfer tax, borne by the Company.</w:t>
            </w:r>
          </w:p>
        </w:tc>
      </w:tr>
    </w:tbl>
    <w:p>
      <w:pPr>
        <w:spacing w:after="80"/>
      </w:pPr>
    </w:p>
    <w:p>
      <w:pPr>
        <w:keepNext/>
        <w:spacing w:before="280" w:after="80"/>
      </w:pPr>
      <w:r>
        <w:rPr>
          <w:rFonts w:ascii="Calibri" w:hAnsi="Calibri"/>
          <w:b/>
          <w:color w:val="C9A227"/>
          <w:sz w:val="28"/>
        </w:rPr>
        <w:t>14.  CONDITIONS PRECEDENT &amp; GENERAL</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Conditions Precedent</w:t>
            </w:r>
          </w:p>
        </w:tc>
        <w:tc>
          <w:tcPr>
            <w:tcW w:type="dxa" w:w="6633"/>
            <w:shd w:val="clear" w:color="auto" w:fill="F5F5F5"/>
          </w:tcPr>
          <w:p>
            <w:pPr>
              <w:spacing w:before="20" w:after="40"/>
            </w:pPr>
            <w:r/>
            <w:r>
              <w:rPr>
                <w:b/>
                <w:color w:val="1A1A1A"/>
                <w:sz w:val="20"/>
              </w:rPr>
              <w:t>(a) Shareholders' Agreement and Equity Participation Agreement in agreed form;</w:t>
            </w:r>
          </w:p>
          <w:p>
            <w:pPr>
              <w:spacing w:before="20" w:after="40"/>
            </w:pPr>
            <w:r>
              <w:rPr>
                <w:b/>
                <w:color w:val="1A1A1A"/>
                <w:sz w:val="20"/>
              </w:rPr>
              <w:t>(b) independent legal advice obtained by Simon;</w:t>
            </w:r>
          </w:p>
          <w:p>
            <w:pPr>
              <w:spacing w:before="20" w:after="40"/>
            </w:pPr>
            <w:r>
              <w:rPr>
                <w:b/>
                <w:color w:val="1A1A1A"/>
                <w:sz w:val="20"/>
              </w:rPr>
              <w:t>(c) independent tax advice obtained by both parties;</w:t>
            </w:r>
          </w:p>
          <w:p>
            <w:pPr>
              <w:spacing w:before="20" w:after="40"/>
            </w:pPr>
            <w:r>
              <w:rPr>
                <w:b/>
                <w:color w:val="1A1A1A"/>
                <w:sz w:val="20"/>
              </w:rPr>
              <w:t>(d) Finova Capital JR appointment or letter of intent;</w:t>
            </w:r>
          </w:p>
          <w:p>
            <w:pPr>
              <w:spacing w:before="20" w:after="40"/>
            </w:pPr>
            <w:r>
              <w:rPr>
                <w:b/>
                <w:color w:val="1A1A1A"/>
                <w:sz w:val="20"/>
              </w:rPr>
              <w:t>(e) confirmation Simon meets minimum FAIS fit-and-proper requirements.</w:t>
            </w:r>
          </w:p>
        </w:tc>
      </w:tr>
      <w:tr>
        <w:tc>
          <w:tcPr>
            <w:tcW w:type="dxa" w:w="2721"/>
            <w:shd w:val="clear" w:color="auto" w:fill="FFFFFF"/>
          </w:tcPr>
          <w:p>
            <w:r/>
            <w:r>
              <w:rPr>
                <w:b/>
                <w:i w:val="0"/>
                <w:color w:val="1A1A1A"/>
                <w:sz w:val="20"/>
              </w:rPr>
              <w:t>Exclusivity</w:t>
            </w:r>
          </w:p>
        </w:tc>
        <w:tc>
          <w:tcPr>
            <w:tcW w:type="dxa" w:w="6633"/>
            <w:shd w:val="clear" w:color="auto" w:fill="FFFFFF"/>
          </w:tcPr>
          <w:p>
            <w:pPr>
              <w:spacing w:before="20" w:after="40"/>
            </w:pPr>
            <w:r/>
            <w:r>
              <w:rPr>
                <w:color w:val="1A1A1A"/>
                <w:sz w:val="20"/>
              </w:rPr>
              <w:t>For 60 days from signature, Simon will not negotiate a similar arrangement with any other fintech, crypto, or investment-management company.</w:t>
            </w:r>
          </w:p>
        </w:tc>
      </w:tr>
      <w:tr>
        <w:tc>
          <w:tcPr>
            <w:tcW w:type="dxa" w:w="2721"/>
            <w:shd w:val="clear" w:color="auto" w:fill="F5F5F5"/>
          </w:tcPr>
          <w:p>
            <w:r/>
            <w:r>
              <w:rPr>
                <w:b/>
                <w:i w:val="0"/>
                <w:color w:val="1A1A1A"/>
                <w:sz w:val="20"/>
              </w:rPr>
              <w:t>Governing Law</w:t>
            </w:r>
          </w:p>
        </w:tc>
        <w:tc>
          <w:tcPr>
            <w:tcW w:type="dxa" w:w="6633"/>
            <w:shd w:val="clear" w:color="auto" w:fill="F5F5F5"/>
          </w:tcPr>
          <w:p>
            <w:pPr>
              <w:spacing w:before="20" w:after="40"/>
            </w:pPr>
            <w:r/>
            <w:r>
              <w:rPr>
                <w:color w:val="1A1A1A"/>
                <w:sz w:val="20"/>
              </w:rPr>
              <w:t>Republic of South Africa; disputes to arbitration under AFSA rules.</w:t>
            </w:r>
          </w:p>
        </w:tc>
      </w:tr>
      <w:tr>
        <w:tc>
          <w:tcPr>
            <w:tcW w:type="dxa" w:w="2721"/>
            <w:shd w:val="clear" w:color="auto" w:fill="FFFFFF"/>
          </w:tcPr>
          <w:p>
            <w:r/>
            <w:r>
              <w:rPr>
                <w:b/>
                <w:i w:val="0"/>
                <w:color w:val="1A1A1A"/>
                <w:sz w:val="20"/>
              </w:rPr>
              <w:t>Confidentiality</w:t>
            </w:r>
          </w:p>
        </w:tc>
        <w:tc>
          <w:tcPr>
            <w:tcW w:type="dxa" w:w="6633"/>
            <w:shd w:val="clear" w:color="auto" w:fill="FFFFFF"/>
          </w:tcPr>
          <w:p>
            <w:pPr>
              <w:spacing w:before="20" w:after="40"/>
            </w:pPr>
            <w:r/>
            <w:r>
              <w:rPr>
                <w:color w:val="1A1A1A"/>
                <w:sz w:val="20"/>
              </w:rPr>
              <w:t>Both parties keep the contents of this term sheet strictly confidential.</w:t>
            </w:r>
          </w:p>
        </w:tc>
      </w:tr>
      <w:tr>
        <w:tc>
          <w:tcPr>
            <w:tcW w:type="dxa" w:w="2721"/>
            <w:shd w:val="clear" w:color="auto" w:fill="F5F5F5"/>
          </w:tcPr>
          <w:p>
            <w:r/>
            <w:r>
              <w:rPr>
                <w:b/>
                <w:i w:val="0"/>
                <w:color w:val="1A1A1A"/>
                <w:sz w:val="20"/>
              </w:rPr>
              <w:t>Non-Binding</w:t>
            </w:r>
          </w:p>
        </w:tc>
        <w:tc>
          <w:tcPr>
            <w:tcW w:type="dxa" w:w="6633"/>
            <w:shd w:val="clear" w:color="auto" w:fill="F5F5F5"/>
          </w:tcPr>
          <w:p>
            <w:pPr>
              <w:spacing w:before="20" w:after="40"/>
            </w:pPr>
            <w:r/>
            <w:r>
              <w:rPr>
                <w:color w:val="1A1A1A"/>
                <w:sz w:val="20"/>
              </w:rPr>
              <w:t>Non-binding and subject to contract; no obligations arise until definitive agreements are signed. Lapses if not countersigned within 30 days.</w:t>
            </w:r>
          </w:p>
        </w:tc>
      </w:tr>
    </w:tbl>
    <w:p>
      <w:pPr>
        <w:spacing w:after="80"/>
      </w:pPr>
    </w:p>
    <w:p>
      <w:pPr>
        <w:spacing w:before="80" w:after="80"/>
        <w:pBdr>
          <w:bottom w:val="single" w:sz="4" w:space="1" w:color="C9A227"/>
        </w:pBdr>
      </w:pPr>
    </w:p>
    <w:p>
      <w:pPr>
        <w:keepNext/>
        <w:spacing w:before="280" w:after="80"/>
      </w:pPr>
      <w:r>
        <w:rPr>
          <w:rFonts w:ascii="Calibri" w:hAnsi="Calibri"/>
          <w:b/>
          <w:color w:val="C9A227"/>
          <w:sz w:val="28"/>
        </w:rPr>
        <w:t>15.  SIGNATURE</w:t>
      </w:r>
    </w:p>
    <w:p>
      <w:pPr>
        <w:spacing w:before="40" w:after="80"/>
      </w:pPr>
      <w:r>
        <w:rPr>
          <w:b w:val="0"/>
          <w:i w:val="0"/>
          <w:color w:val="1A1A1A"/>
          <w:sz w:val="20"/>
        </w:rPr>
        <w:t>By signing below the parties confirm they have read and understood these heads of terms and agree to proceed to definitive agreements on this basis. This signature does not create a binding legal obligation.</w:t>
      </w:r>
    </w:p>
    <w:tbl>
      <w:tblPr>
        <w:tblStyle w:val="TableGrid"/>
        <w:tblW w:type="auto" w:w="0"/>
        <w:tblLook w:firstColumn="1" w:firstRow="1" w:lastColumn="0" w:lastRow="0" w:noHBand="0" w:noVBand="1" w:val="04A0"/>
      </w:tblPr>
      <w:tblGrid>
        <w:gridCol w:w="4816"/>
        <w:gridCol w:w="4816"/>
      </w:tblGrid>
      <w:tr>
        <w:tc>
          <w:tcPr>
            <w:tcW w:type="dxa" w:w="4649"/>
            <w:shd w:val="clear" w:color="auto" w:fill="F5F5F5"/>
          </w:tcPr>
          <w:p>
            <w:r/>
            <w:r>
              <w:rPr>
                <w:b/>
                <w:i w:val="0"/>
                <w:color w:val="1A1A1A"/>
                <w:sz w:val="20"/>
              </w:rPr>
              <w:t>FOR AND ON BEHALF OF BITWEALTH ASSET MANAGERS (PTY) LTD</w:t>
              <w:br/>
              <w:t>and in his personal capacity as Founder</w:t>
            </w:r>
          </w:p>
        </w:tc>
        <w:tc>
          <w:tcPr>
            <w:tcW w:type="dxa" w:w="4649"/>
            <w:shd w:val="clear" w:color="auto" w:fill="F5F5F5"/>
          </w:tcPr>
          <w:p>
            <w:r/>
            <w:r>
              <w:rPr>
                <w:b/>
                <w:i w:val="0"/>
                <w:color w:val="1A1A1A"/>
                <w:sz w:val="20"/>
              </w:rPr>
              <w:t>AGREED TO BY SIMON HENRY NEWBOLD HOBDAY</w:t>
              <w:br/>
              <w:t>in his personal capacity</w:t>
            </w:r>
          </w:p>
        </w:tc>
      </w:tr>
      <w:tr>
        <w:tc>
          <w:tcPr>
            <w:tcW w:type="dxa" w:w="4649"/>
            <w:shd w:val="clear" w:color="auto" w:fill="FFFFFF"/>
          </w:tcPr>
          <w:p>
            <w:r/>
            <w:r>
              <w:rPr>
                <w:b w:val="0"/>
                <w:i w:val="0"/>
                <w:color w:val="1A1A1A"/>
                <w:sz w:val="20"/>
              </w:rPr>
              <w:t>Signature: _____________________________</w:t>
            </w:r>
          </w:p>
        </w:tc>
        <w:tc>
          <w:tcPr>
            <w:tcW w:type="dxa" w:w="4649"/>
            <w:shd w:val="clear" w:color="auto" w:fill="FFFFFF"/>
          </w:tcPr>
          <w:p>
            <w:r/>
            <w:r>
              <w:rPr>
                <w:b w:val="0"/>
                <w:i w:val="0"/>
                <w:color w:val="1A1A1A"/>
                <w:sz w:val="20"/>
              </w:rPr>
              <w:t>Signature: _____________________________</w:t>
            </w:r>
          </w:p>
        </w:tc>
      </w:tr>
      <w:tr>
        <w:tc>
          <w:tcPr>
            <w:tcW w:type="dxa" w:w="4649"/>
            <w:shd w:val="clear" w:color="auto" w:fill="FFFFFF"/>
          </w:tcPr>
          <w:p>
            <w:r/>
            <w:r>
              <w:rPr>
                <w:b w:val="0"/>
                <w:i w:val="0"/>
                <w:color w:val="1A1A1A"/>
                <w:sz w:val="20"/>
              </w:rPr>
              <w:t>Full Name:  Davin Harald Gaier</w:t>
            </w:r>
          </w:p>
        </w:tc>
        <w:tc>
          <w:tcPr>
            <w:tcW w:type="dxa" w:w="4649"/>
            <w:shd w:val="clear" w:color="auto" w:fill="FFFFFF"/>
          </w:tcPr>
          <w:p>
            <w:r/>
            <w:r>
              <w:rPr>
                <w:b w:val="0"/>
                <w:i w:val="0"/>
                <w:color w:val="1A1A1A"/>
                <w:sz w:val="20"/>
              </w:rPr>
              <w:t>Full Name:  Simon Henry Newbold Hobday</w:t>
            </w:r>
          </w:p>
        </w:tc>
      </w:tr>
      <w:tr>
        <w:tc>
          <w:tcPr>
            <w:tcW w:type="dxa" w:w="4649"/>
            <w:shd w:val="clear" w:color="auto" w:fill="FFFFFF"/>
          </w:tcPr>
          <w:p>
            <w:r/>
            <w:r>
              <w:rPr>
                <w:b w:val="0"/>
                <w:i w:val="0"/>
                <w:color w:val="1A1A1A"/>
                <w:sz w:val="20"/>
              </w:rPr>
              <w:t>Capacity:   Director / Founder</w:t>
            </w:r>
          </w:p>
        </w:tc>
        <w:tc>
          <w:tcPr>
            <w:tcW w:type="dxa" w:w="4649"/>
            <w:shd w:val="clear" w:color="auto" w:fill="FFFFFF"/>
          </w:tcPr>
          <w:p>
            <w:r/>
            <w:r>
              <w:rPr>
                <w:b w:val="0"/>
                <w:i w:val="0"/>
                <w:color w:val="1A1A1A"/>
                <w:sz w:val="20"/>
              </w:rPr>
              <w:t>Capacity:   Proposed Business Development Partner</w:t>
            </w:r>
          </w:p>
        </w:tc>
      </w:tr>
      <w:tr>
        <w:tc>
          <w:tcPr>
            <w:tcW w:type="dxa" w:w="4649"/>
            <w:shd w:val="clear" w:color="auto" w:fill="FFFFFF"/>
          </w:tcPr>
          <w:p>
            <w:r/>
            <w:r>
              <w:rPr>
                <w:b w:val="0"/>
                <w:i w:val="0"/>
                <w:color w:val="1A1A1A"/>
                <w:sz w:val="20"/>
              </w:rPr>
              <w:t>Date:       ___________________________</w:t>
            </w:r>
          </w:p>
        </w:tc>
        <w:tc>
          <w:tcPr>
            <w:tcW w:type="dxa" w:w="4649"/>
            <w:shd w:val="clear" w:color="auto" w:fill="FFFFFF"/>
          </w:tcPr>
          <w:p>
            <w:r/>
            <w:r>
              <w:rPr>
                <w:b w:val="0"/>
                <w:i w:val="0"/>
                <w:color w:val="1A1A1A"/>
                <w:sz w:val="20"/>
              </w:rPr>
              <w:t>Date:       ___________________________</w:t>
            </w:r>
          </w:p>
        </w:tc>
      </w:tr>
      <w:tr>
        <w:tc>
          <w:tcPr>
            <w:tcW w:type="dxa" w:w="4649"/>
            <w:shd w:val="clear" w:color="auto" w:fill="FFFFFF"/>
          </w:tcPr>
          <w:p>
            <w:r/>
            <w:r>
              <w:rPr>
                <w:b w:val="0"/>
                <w:i w:val="0"/>
                <w:color w:val="1A1A1A"/>
                <w:sz w:val="20"/>
              </w:rPr>
              <w:t>Witness:    ___________________________</w:t>
            </w:r>
          </w:p>
        </w:tc>
        <w:tc>
          <w:tcPr>
            <w:tcW w:type="dxa" w:w="4649"/>
            <w:shd w:val="clear" w:color="auto" w:fill="FFFFFF"/>
          </w:tcPr>
          <w:p>
            <w:r/>
            <w:r>
              <w:rPr>
                <w:b w:val="0"/>
                <w:i w:val="0"/>
                <w:color w:val="1A1A1A"/>
                <w:sz w:val="20"/>
              </w:rPr>
              <w:t>Witness:    ___________________________</w:t>
            </w:r>
          </w:p>
        </w:tc>
      </w:tr>
    </w:tbl>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