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52"/>
        </w:rPr>
        <w:t>BitWealth (Pty) Ltd</w:t>
      </w:r>
    </w:p>
    <w:p>
      <w:pPr>
        <w:jc w:val="center"/>
      </w:pPr>
      <w:r>
        <w:rPr>
          <w:color w:val="1A1A1A"/>
          <w:sz w:val="32"/>
        </w:rPr>
        <w:t>Simon Hobday — Equity Earn-In Model</w:t>
      </w:r>
    </w:p>
    <w:p>
      <w:pPr>
        <w:jc w:val="center"/>
      </w:pPr>
      <w:r>
        <w:rPr>
          <w:i/>
          <w:color w:val="555555"/>
          <w:sz w:val="20"/>
        </w:rPr>
        <w:t>Cap-Table Walk-Through at Each AUM Milestone</w:t>
        <w:br/>
        <w:t>Discussion document — May 2026</w:t>
      </w:r>
    </w:p>
    <w:p/>
    <w:p>
      <w:r>
        <w:rPr>
          <w:b w:val="0"/>
          <w:i/>
          <w:color w:val="555555"/>
          <w:sz w:val="22"/>
        </w:rPr>
        <w:t>This document models the cap-table position of BitWealth (Pty) Ltd at each AUM milestone under the proposed equity earn-in arrangement for Simon Hobday. All numbers are illustrative; final terms to be documented in a Shareholders' Agreement reviewed by attorneys. Based on the structural advice received from Tremyne (CA(SA)) on 17 May 2026: single ordinary share class, no holding company, IP transferred into the company as a shareholder loan from the Founder.</w:t>
      </w:r>
    </w:p>
    <w:p>
      <w:pPr>
        <w:pStyle w:val="Heading1"/>
      </w:pPr>
      <w:r>
        <w:rPr>
          <w:rFonts w:ascii="Calibri" w:hAnsi="Calibri"/>
          <w:color w:val="C9A227"/>
        </w:rPr>
        <w:t>1. Starting Position (Pre-Simon Subscription)</w:t>
      </w:r>
    </w:p>
    <w:p>
      <w:r>
        <w:rPr>
          <w:b w:val="0"/>
          <w:i w:val="0"/>
          <w:color w:val="1A1A1A"/>
          <w:sz w:val="22"/>
        </w:rPr>
        <w:t>BitWealth (Pty) Ltd currently has 100 ordinary shares in issue, all held by the Founder. The Founder's IP is transferred into the company at an agreed value, creating a shareholder loan repayable to the Founder.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969"/>
            <w:shd w:val="clear" w:color="auto" w:fill="F5EBC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Value (ZAR)</w:t>
            </w:r>
          </w:p>
        </w:tc>
        <w:tc>
          <w:tcPr>
            <w:tcW w:type="dxa" w:w="3969"/>
            <w:shd w:val="clear" w:color="auto" w:fill="F5EBC8"/>
          </w:tcPr>
          <w:p>
            <w:r/>
            <w:r>
              <w:rPr>
                <w:b/>
                <w:sz w:val="20"/>
              </w:rPr>
              <w:t>Comment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Issued shares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Sole shareholder: Davin Gaier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IP agreed value (recorded on balance sheet)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2,500,000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Working assumption — adjust by agreement with Simon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Corresponding shareholder loan to Founder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2,500,000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Repayable per IP Transfer Agreement; amortised over 15 years for tax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Implied pre-money equity value (going-concern)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4,500,000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Distinct from IP value; basis for Simon's subscription price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Implied post-money equity value (after Simon's R 500k)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5,000,000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 500k / 10% = R 5m post-money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2. At Initial Subscription (Day 1)</w:t>
      </w:r>
    </w:p>
    <w:p>
      <w:r>
        <w:rPr>
          <w:b w:val="0"/>
          <w:i w:val="0"/>
          <w:color w:val="1A1A1A"/>
          <w:sz w:val="22"/>
        </w:rPr>
        <w:t>Simon subscribes for R 500,000 in equity and advances R 500,000 as a shareholder loan. New shares are issued to Simon, diluting the Founder to 90%. Both shareholders now hold loan accounts against the company.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118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Shares</w:t>
            </w:r>
          </w:p>
        </w:tc>
        <w:tc>
          <w:tcPr>
            <w:tcW w:type="dxa" w:w="1417"/>
            <w:shd w:val="clear" w:color="auto" w:fill="F5EBC8"/>
          </w:tcPr>
          <w:p>
            <w:r/>
            <w:r>
              <w:rPr>
                <w:b/>
                <w:sz w:val="20"/>
              </w:rPr>
              <w:t>Equity %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Capital contributed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Loan account (ZAR)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Founder (Davin Gaier)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90.00%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IP @ R 2.5m + sweat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2,500,000 (IP)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Simon Hobday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11.11 (rounded — see note)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10.00%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500,000 cash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500,000 (cash loan)</w:t>
            </w:r>
          </w:p>
        </w:tc>
      </w:tr>
      <w:tr>
        <w:tc>
          <w:tcPr>
            <w:tcW w:type="dxa" w:w="3118"/>
            <w:shd w:val="clear" w:color="auto" w:fill="F5EBC8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sz w:val="20"/>
              </w:rPr>
              <w:t>111.11</w:t>
            </w:r>
          </w:p>
        </w:tc>
        <w:tc>
          <w:tcPr>
            <w:tcW w:type="dxa" w:w="1417"/>
            <w:shd w:val="clear" w:color="auto" w:fill="F5EBC8"/>
          </w:tcPr>
          <w:p>
            <w:r/>
            <w:r>
              <w:rPr>
                <w:sz w:val="20"/>
              </w:rPr>
              <w:t>100.00%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sz w:val="20"/>
              </w:rPr>
              <w:t>R 3,000,000</w:t>
            </w:r>
          </w:p>
        </w:tc>
      </w:tr>
    </w:tbl>
    <w:p>
      <w:r>
        <w:rPr>
          <w:b w:val="0"/>
          <w:i/>
          <w:color w:val="555555"/>
          <w:sz w:val="22"/>
        </w:rPr>
        <w:t>Note on share-count mechanics: in practice we would re-denominate the share register (e.g. issue 1,000 shares to the Founder pre-subscription, then issue 111 to Simon to give 10%) to avoid fractional shares. The percentages are what matter; share counts are mechanical and can be set by the company secretary at incorporation of the SHA.</w:t>
      </w:r>
    </w:p>
    <w:p>
      <w:pPr>
        <w:pStyle w:val="Heading1"/>
      </w:pPr>
      <w:r>
        <w:rPr>
          <w:rFonts w:ascii="Calibri" w:hAnsi="Calibri"/>
          <w:color w:val="C9A227"/>
        </w:rPr>
        <w:t>3. Cap Table at Each AUM Milestone (Option 2 — Recommended)</w:t>
      </w:r>
    </w:p>
    <w:p>
      <w:r>
        <w:rPr>
          <w:b w:val="0"/>
          <w:i w:val="0"/>
          <w:color w:val="1A1A1A"/>
          <w:sz w:val="22"/>
        </w:rPr>
        <w:t>The 30% earn-in is split into 6 tranches of 5% each, triggered by escalating qualifying AUM thresholds. Each tranche is issued as a new ordinary share subscription at nominal value at the first quarter-end after the threshold is met. Shares once issued do not reverse if AUM later declines.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shd w:val="clear" w:color="auto" w:fill="F5EBC8"/>
          </w:tcPr>
          <w:p>
            <w:r/>
            <w:r>
              <w:rPr>
                <w:b/>
                <w:sz w:val="20"/>
              </w:rPr>
              <w:t>Tranche</w:t>
            </w:r>
          </w:p>
        </w:tc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Qualifying AUM (ZAR)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Equity issued in tranche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Simon cumulative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Founder cumulative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Start (Day 1)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n/a (subscription)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90.00%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 10,000,000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85.00%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 20,000,000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80.00%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 35,000,000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75.00%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 55,000,000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70.00%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 80,000,000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65.00%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r/>
            <w:r>
              <w:rPr>
                <w:sz w:val="20"/>
              </w:rPr>
              <w:t>6 (cap)</w:t>
            </w:r>
          </w:p>
        </w:tc>
        <w:tc>
          <w:tcPr>
            <w:tcW w:type="dxa" w:w="2551"/>
            <w:shd w:val="clear" w:color="auto" w:fill="E8F5E9"/>
          </w:tcPr>
          <w:p>
            <w:r/>
            <w:r>
              <w:rPr>
                <w:sz w:val="20"/>
              </w:rPr>
              <w:t>R 110,000,000</w:t>
            </w:r>
          </w:p>
        </w:tc>
        <w:tc>
          <w:tcPr>
            <w:tcW w:type="dxa" w:w="2268"/>
            <w:shd w:val="clear" w:color="auto" w:fill="E8F5E9"/>
          </w:tcPr>
          <w:p>
            <w:r/>
            <w:r>
              <w:rPr>
                <w:sz w:val="20"/>
              </w:rPr>
              <w:t>5.00%</w:t>
            </w:r>
          </w:p>
        </w:tc>
        <w:tc>
          <w:tcPr>
            <w:tcW w:type="dxa" w:w="1984"/>
            <w:shd w:val="clear" w:color="auto" w:fill="E8F5E9"/>
          </w:tcPr>
          <w:p>
            <w:r/>
            <w:r>
              <w:rPr>
                <w:sz w:val="20"/>
              </w:rPr>
              <w:t>40.00%</w:t>
            </w:r>
          </w:p>
        </w:tc>
        <w:tc>
          <w:tcPr>
            <w:tcW w:type="dxa" w:w="1984"/>
            <w:shd w:val="clear" w:color="auto" w:fill="E8F5E9"/>
          </w:tcPr>
          <w:p>
            <w:r/>
            <w:r>
              <w:rPr>
                <w:sz w:val="20"/>
              </w:rPr>
              <w:t>60.00%</w:t>
            </w:r>
          </w:p>
        </w:tc>
      </w:tr>
    </w:tbl>
    <w:p>
      <w:r>
        <w:rPr>
          <w:b w:val="0"/>
          <w:i w:val="0"/>
          <w:color w:val="1A1A1A"/>
          <w:sz w:val="22"/>
        </w:rPr>
        <w:t>At full earn-in, Simon holds 40% and the Founder retains 60% — exactly the control threshold advised by Tremyne. Earn-in window: 5 years from SHA effective date; any unearned tranches lapse on expiry.</w:t>
      </w:r>
    </w:p>
    <w:p>
      <w:pPr>
        <w:pStyle w:val="Heading1"/>
      </w:pPr>
      <w:r>
        <w:rPr>
          <w:rFonts w:ascii="Calibri" w:hAnsi="Calibri"/>
          <w:color w:val="C9A227"/>
        </w:rPr>
        <w:t>4. Economic Position at Each Tranche</w:t>
      </w:r>
    </w:p>
    <w:p>
      <w:r>
        <w:rPr>
          <w:b w:val="0"/>
          <w:i w:val="0"/>
          <w:color w:val="1A1A1A"/>
          <w:sz w:val="22"/>
        </w:rPr>
        <w:t>The table below illustrates how the IP shareholder loan to the Founder protects his economics. In any liquidity event (dividend, sale, wind-up), shareholder loans are repaid in full before equity holders share in remaining proceeds.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Founder equity %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Simon equity %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Founder loan o/s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Simon loan o/s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Day 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90.00%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2,500,000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After Tranche 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(amortising)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(repaying)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After Tranche 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(amortising)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(repaying)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After Tranche 6 (cap)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Per IP schedule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Per loan schedule</w:t>
            </w:r>
          </w:p>
        </w:tc>
      </w:tr>
    </w:tbl>
    <w:p>
      <w:r>
        <w:rPr>
          <w:b/>
          <w:i w:val="0"/>
          <w:color w:val="1A1A1A"/>
          <w:sz w:val="22"/>
        </w:rPr>
        <w:t>Loan repayment mechanics (proposed):</w:t>
      </w:r>
    </w:p>
    <w:p>
      <w:pPr>
        <w:pStyle w:val="ListBullet"/>
      </w:pPr>
      <w:r>
        <w:rPr>
          <w:sz w:val="22"/>
        </w:rPr>
        <w:t>Founder IP loan: amortised over 15 years per tax/accounting schedule; cash repayments only from declared surpluses, subordinated to operating-capital needs</w:t>
      </w:r>
    </w:p>
    <w:p>
      <w:pPr>
        <w:pStyle w:val="ListBullet"/>
      </w:pPr>
      <w:r>
        <w:rPr>
          <w:sz w:val="22"/>
        </w:rPr>
        <w:t>Simon cash loan: repaid at SA prime −1% over 24 months from first cash surplus; suspended if cash flow insufficient</w:t>
      </w:r>
    </w:p>
    <w:p>
      <w:pPr>
        <w:pStyle w:val="ListBullet"/>
      </w:pPr>
      <w:r>
        <w:rPr>
          <w:sz w:val="22"/>
        </w:rPr>
        <w:t>Both loans rank ahead of dividend declarations; neither shareholder may force repayment if it would render the company commercially insolvent</w:t>
      </w:r>
    </w:p>
    <w:p>
      <w:pPr>
        <w:pStyle w:val="Heading1"/>
      </w:pPr>
      <w:r>
        <w:rPr>
          <w:rFonts w:ascii="Calibri" w:hAnsi="Calibri"/>
          <w:color w:val="C9A227"/>
        </w:rPr>
        <w:t>5. Worked Example — Exit Sale at Year 5</w:t>
      </w:r>
    </w:p>
    <w:p>
      <w:r>
        <w:rPr>
          <w:b w:val="0"/>
          <w:i w:val="0"/>
          <w:color w:val="1A1A1A"/>
          <w:sz w:val="22"/>
        </w:rPr>
        <w:t>Illustrative scenario: at Year 5, Simon has hit Tranches 1–4 (Simon 30%, Founder 70%). Company is sold for R 30,000,000 enterprise value. Loan accounts have been partially repaid (Founder R 1m remaining, Simon R 0 remaining).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F5EBC8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Calculation</w:t>
            </w:r>
          </w:p>
        </w:tc>
        <w:tc>
          <w:tcPr>
            <w:tcW w:type="dxa" w:w="2835"/>
            <w:shd w:val="clear" w:color="auto" w:fill="F5EBC8"/>
          </w:tcPr>
          <w:p>
            <w:r/>
            <w:r>
              <w:rPr>
                <w:b/>
                <w:sz w:val="20"/>
              </w:rPr>
              <w:t>Amount (ZAR)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1. Enterprise value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Sale price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30,000,000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2. Repay outstanding loans first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Founder R 1m, Simon R 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(R 1,000,000)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3. Net proceeds to equity holders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 30m − R 1m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29,000,000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4. Founder share (70%)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70% × R 29m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20,300,000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5. Simon share (30%)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30% × R 29m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8,700,000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r/>
            <w:r>
              <w:rPr>
                <w:sz w:val="20"/>
              </w:rPr>
              <w:t>Founder total recovery</w:t>
            </w:r>
          </w:p>
        </w:tc>
        <w:tc>
          <w:tcPr>
            <w:tcW w:type="dxa" w:w="3402"/>
            <w:shd w:val="clear" w:color="auto" w:fill="E8F5E9"/>
          </w:tcPr>
          <w:p>
            <w:r/>
            <w:r>
              <w:rPr>
                <w:sz w:val="20"/>
              </w:rPr>
              <w:t>Loan repayment + equity</w:t>
            </w:r>
          </w:p>
        </w:tc>
        <w:tc>
          <w:tcPr>
            <w:tcW w:type="dxa" w:w="2835"/>
            <w:shd w:val="clear" w:color="auto" w:fill="E8F5E9"/>
          </w:tcPr>
          <w:p>
            <w:r/>
            <w:r>
              <w:rPr>
                <w:sz w:val="20"/>
              </w:rPr>
              <w:t>R 21,300,000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r/>
            <w:r>
              <w:rPr>
                <w:sz w:val="20"/>
              </w:rPr>
              <w:t>Simon total recovery</w:t>
            </w:r>
          </w:p>
        </w:tc>
        <w:tc>
          <w:tcPr>
            <w:tcW w:type="dxa" w:w="3402"/>
            <w:shd w:val="clear" w:color="auto" w:fill="E8F5E9"/>
          </w:tcPr>
          <w:p>
            <w:r/>
            <w:r>
              <w:rPr>
                <w:sz w:val="20"/>
              </w:rPr>
              <w:t>Loan repayment + equity</w:t>
            </w:r>
          </w:p>
        </w:tc>
        <w:tc>
          <w:tcPr>
            <w:tcW w:type="dxa" w:w="2835"/>
            <w:shd w:val="clear" w:color="auto" w:fill="E8F5E9"/>
          </w:tcPr>
          <w:p>
            <w:r/>
            <w:r>
              <w:rPr>
                <w:sz w:val="20"/>
              </w:rPr>
              <w:t>R 8,700,000</w:t>
            </w:r>
          </w:p>
        </w:tc>
      </w:tr>
    </w:tbl>
    <w:p>
      <w:r>
        <w:rPr>
          <w:b w:val="0"/>
          <w:i/>
          <w:color w:val="555555"/>
          <w:sz w:val="22"/>
        </w:rPr>
        <w:t>Note: this assumes a clean asset sale with no CGT, dividends tax or transaction costs. In practice the after-tax position will differ. The point of the worked example is to show how the IP loan protects Founder economics even after dilution.</w:t>
      </w:r>
    </w:p>
    <w:p>
      <w:pPr>
        <w:pStyle w:val="Heading1"/>
      </w:pPr>
      <w:r>
        <w:rPr>
          <w:rFonts w:ascii="Calibri" w:hAnsi="Calibri"/>
          <w:color w:val="C9A227"/>
        </w:rPr>
        <w:t>6. Sensitivity — What Simon Earns at Different AUM Outcomes</w:t>
      </w:r>
    </w:p>
    <w:p>
      <w:r>
        <w:rPr>
          <w:b w:val="0"/>
          <w:i w:val="0"/>
          <w:color w:val="1A1A1A"/>
          <w:sz w:val="22"/>
        </w:rPr>
        <w:t>Simon's eventual equity stake depends entirely on AUM delivered. The table below shows his final cumulative stake under different AUM scenarios reached within the 5-year earn-in window.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val="clear" w:color="auto" w:fill="F5EBC8"/>
          </w:tcPr>
          <w:p>
            <w:r/>
            <w:r>
              <w:rPr>
                <w:b/>
                <w:sz w:val="20"/>
              </w:rPr>
              <w:t>Qualifying AUM achieved</w:t>
            </w:r>
          </w:p>
        </w:tc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Tranches earned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Simon final equity %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Founder final equity 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&lt; R 10m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None (only initial subscription)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90.00%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10m – R 19m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85.00%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20m – R 34m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35m – R 54m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75.00%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55m – R 79m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70.00%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80m – R 109m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35.00%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65.00%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 110m or more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 (cap)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40.00%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60.00%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7. Key Assumptions for Discussion with Simon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Assumption</w:t>
            </w:r>
          </w:p>
        </w:tc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Proposed value</w:t>
            </w:r>
          </w:p>
        </w:tc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Open for discussion?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IP agreed value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 2,500,000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material to Founder loan size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Going-concern post-money equity valuation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 5,000,000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sets Simon's effective entry price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Simon equity ceiling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40% (Founder retains ≥60% control)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Hard cap per CA advice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Tranche size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5% per tranche × 6 tranches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could be 7.5% × 4, etc.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AUM curve shape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Accelerating (R 10m, 20m, 35m, 55m, 80m, 110m)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Simon may prefer flatter steps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Earn-in window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5 years from SHA effective date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3 / 4 / 5 / 7 years all possible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6-month retention rule for qualifying AUM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Required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Recommended — protects against churn-gaming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Loan repayment cadence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Founder: 15 yrs amortised. Simon: 24 mths from surplus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Bad-leaver share buyback (Yr 1–4)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Vested = subscription price; unvested = nominal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standard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Good-leaver share treatment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Vested = market value; unvested = forfeit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standard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Founder reverse vesting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None — IP loan provides commitment lock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Yes — Simon may push back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Future opcos (Bitcoin RA, leverage, etc.)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Separate equity discussions per opco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Critical — agree principle now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