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A227"/>
          <w:sz w:val="40"/>
        </w:rPr>
        <w:t>BitWealth (Pty) Ltd</w:t>
      </w:r>
    </w:p>
    <w:p>
      <w:pPr>
        <w:jc w:val="center"/>
      </w:pPr>
      <w:r>
        <w:rPr>
          <w:b/>
          <w:color w:val="1A1A1A"/>
          <w:sz w:val="26"/>
        </w:rPr>
        <w:t>SHAREHOLDERS' AGREEMENT — INDICATIVE TERM SHEET</w:t>
      </w:r>
    </w:p>
    <w:p>
      <w:pPr>
        <w:jc w:val="center"/>
      </w:pPr>
      <w:r>
        <w:rPr>
          <w:i/>
          <w:color w:val="555555"/>
          <w:sz w:val="18"/>
        </w:rPr>
        <w:t>Non-binding discussion document  |  May 2026  |  Davin Gaier  ↔  Simon Hobday</w:t>
      </w:r>
    </w:p>
    <w:p>
      <w:r>
        <w:rPr>
          <w:i/>
          <w:color w:val="C00000"/>
          <w:sz w:val="18"/>
        </w:rPr>
        <w:t>This term sheet is non-binding and is provided as a basis for negotiation only. It does not constitute an offer or commitment. Final terms to be documented in a Shareholders' Agreement drafted and reviewed by attorneys. Conditional on execution of the IP Transfer Agreement and finalisation of the CAEP Juristic Representative appointment.</w:t>
      </w:r>
    </w:p>
    <w:tbl>
      <w:tblPr>
        <w:tblStyle w:val="LightGrid-Accent1"/>
        <w:tblW w:type="auto" w:w="0"/>
        <w:tblLook w:firstColumn="1" w:firstRow="1" w:lastColumn="0" w:lastRow="0" w:noHBand="0" w:noVBand="1" w:val="04A0"/>
      </w:tblPr>
      <w:tblGrid>
        <w:gridCol w:w="5100"/>
        <w:gridCol w:w="5100"/>
      </w:tblGrid>
      <w:tr>
        <w:tc>
          <w:tcPr>
            <w:tcW w:type="dxa" w:w="2551"/>
            <w:shd w:val="clear" w:color="auto" w:fill="F5EBC8"/>
          </w:tcPr>
          <w:p>
            <w:r/>
            <w:r>
              <w:rPr>
                <w:b/>
                <w:sz w:val="20"/>
              </w:rPr>
              <w:t>Term</w:t>
            </w:r>
          </w:p>
        </w:tc>
        <w:tc>
          <w:tcPr>
            <w:tcW w:type="dxa" w:w="7087"/>
            <w:shd w:val="clear" w:color="auto" w:fill="F5EBC8"/>
          </w:tcPr>
          <w:p>
            <w:r/>
            <w:r>
              <w:rPr>
                <w:b/>
                <w:sz w:val="20"/>
              </w:rPr>
              <w:t>Proposed Position</w:t>
            </w:r>
          </w:p>
        </w:tc>
      </w:tr>
      <w:tr>
        <w:tc>
          <w:tcPr>
            <w:tcW w:type="dxa" w:w="2551"/>
          </w:tcPr>
          <w:p>
            <w:r/>
            <w:r>
              <w:rPr>
                <w:sz w:val="20"/>
              </w:rPr>
              <w:t>Company</w:t>
            </w:r>
          </w:p>
        </w:tc>
        <w:tc>
          <w:tcPr>
            <w:tcW w:type="dxa" w:w="7087"/>
          </w:tcPr>
          <w:p>
            <w:r/>
            <w:r>
              <w:rPr>
                <w:sz w:val="20"/>
              </w:rPr>
              <w:t>BitWealth (Pty) Ltd (Registration No. 2026/090346/07), a South African private company.</w:t>
            </w:r>
          </w:p>
        </w:tc>
      </w:tr>
      <w:tr>
        <w:tc>
          <w:tcPr>
            <w:tcW w:type="dxa" w:w="2551"/>
          </w:tcPr>
          <w:p>
            <w:r/>
            <w:r>
              <w:rPr>
                <w:sz w:val="20"/>
              </w:rPr>
              <w:t>Parties</w:t>
            </w:r>
          </w:p>
        </w:tc>
        <w:tc>
          <w:tcPr>
            <w:tcW w:type="dxa" w:w="7087"/>
          </w:tcPr>
          <w:p>
            <w:r/>
            <w:r>
              <w:rPr>
                <w:sz w:val="20"/>
              </w:rPr>
              <w:t>(a) Davin Harald Gaier (Founder); (b) Simon Hobday (Distribution Director); (c) BitWealth (Pty) Ltd.</w:t>
            </w:r>
          </w:p>
        </w:tc>
      </w:tr>
      <w:tr>
        <w:tc>
          <w:tcPr>
            <w:tcW w:type="dxa" w:w="2551"/>
          </w:tcPr>
          <w:p>
            <w:r/>
            <w:r>
              <w:rPr>
                <w:sz w:val="20"/>
              </w:rPr>
              <w:t>Conditions Precedent</w:t>
            </w:r>
          </w:p>
        </w:tc>
        <w:tc>
          <w:tcPr>
            <w:tcW w:type="dxa" w:w="7087"/>
          </w:tcPr>
          <w:p>
            <w:r/>
            <w:r>
              <w:rPr>
                <w:sz w:val="20"/>
              </w:rPr>
              <w:t>(i) IP Transfer Agreement signed and dated on or before 20 February for FY2026 inclusion; (ii) FSCA appointment of BitWealth (Pty) Ltd as Juristic Representative under CAEP confirmed; (iii) Both parties' fit-and-proper documentation completed.</w:t>
            </w:r>
          </w:p>
        </w:tc>
      </w:tr>
      <w:tr>
        <w:tc>
          <w:tcPr>
            <w:tcW w:type="dxa" w:w="2551"/>
          </w:tcPr>
          <w:p>
            <w:r/>
            <w:r>
              <w:rPr>
                <w:sz w:val="20"/>
              </w:rPr>
              <w:t>Share Capital</w:t>
            </w:r>
          </w:p>
        </w:tc>
        <w:tc>
          <w:tcPr>
            <w:tcW w:type="dxa" w:w="7087"/>
          </w:tcPr>
          <w:p>
            <w:r/>
            <w:r>
              <w:rPr>
                <w:sz w:val="20"/>
              </w:rPr>
              <w:t>Single class of ordinary shares. Existing 100 (or re-denominated 1,000) ordinary shares held by the Founder pre-subscription.</w:t>
            </w:r>
          </w:p>
        </w:tc>
      </w:tr>
      <w:tr>
        <w:tc>
          <w:tcPr>
            <w:tcW w:type="dxa" w:w="2551"/>
          </w:tcPr>
          <w:p>
            <w:r/>
            <w:r>
              <w:rPr>
                <w:sz w:val="20"/>
              </w:rPr>
              <w:t>Simon's Subscription (Day 1)</w:t>
            </w:r>
          </w:p>
        </w:tc>
        <w:tc>
          <w:tcPr>
            <w:tcW w:type="dxa" w:w="7087"/>
          </w:tcPr>
          <w:p>
            <w:r/>
            <w:r>
              <w:rPr>
                <w:sz w:val="20"/>
              </w:rPr>
              <w:t>Simon subscribes for ordinary shares representing 10.00% of the post-subscription issued capital, for R 500,000 in cash.</w:t>
            </w:r>
          </w:p>
        </w:tc>
      </w:tr>
      <w:tr>
        <w:tc>
          <w:tcPr>
            <w:tcW w:type="dxa" w:w="2551"/>
          </w:tcPr>
          <w:p>
            <w:r/>
            <w:r>
              <w:rPr>
                <w:sz w:val="20"/>
              </w:rPr>
              <w:t>Simon's Shareholder Loan</w:t>
            </w:r>
          </w:p>
        </w:tc>
        <w:tc>
          <w:tcPr>
            <w:tcW w:type="dxa" w:w="7087"/>
          </w:tcPr>
          <w:p>
            <w:r/>
            <w:r>
              <w:rPr>
                <w:sz w:val="20"/>
              </w:rPr>
              <w:t>Simon advances an additional R 500,000 to the Company as an interest-bearing shareholder loan at SA prime −1%, repayable over 24 months from first cash surplus, subordinated to operating-capital needs.</w:t>
            </w:r>
          </w:p>
        </w:tc>
      </w:tr>
      <w:tr>
        <w:tc>
          <w:tcPr>
            <w:tcW w:type="dxa" w:w="2551"/>
          </w:tcPr>
          <w:p>
            <w:r/>
            <w:r>
              <w:rPr>
                <w:sz w:val="20"/>
              </w:rPr>
              <w:t>Founder's IP Loan</w:t>
            </w:r>
          </w:p>
        </w:tc>
        <w:tc>
          <w:tcPr>
            <w:tcW w:type="dxa" w:w="7087"/>
          </w:tcPr>
          <w:p>
            <w:r/>
            <w:r>
              <w:rPr>
                <w:sz w:val="20"/>
              </w:rPr>
              <w:t>Founder transfers the LTH PVR intellectual property (per Annexure A of the IP Transfer Agreement) into the Company at an agreed value of R 2,500,000, recorded as a shareholder loan repayable to the Founder, amortised over 15 years for tax purposes.</w:t>
            </w:r>
          </w:p>
        </w:tc>
      </w:tr>
      <w:tr>
        <w:tc>
          <w:tcPr>
            <w:tcW w:type="dxa" w:w="2551"/>
          </w:tcPr>
          <w:p>
            <w:r/>
            <w:r>
              <w:rPr>
                <w:sz w:val="20"/>
              </w:rPr>
              <w:t>Earn-In Mechanism</w:t>
            </w:r>
          </w:p>
        </w:tc>
        <w:tc>
          <w:tcPr>
            <w:tcW w:type="dxa" w:w="7087"/>
          </w:tcPr>
          <w:p>
            <w:r/>
            <w:r>
              <w:rPr>
                <w:sz w:val="20"/>
              </w:rPr>
              <w:t>Simon may earn up to a further 30.00% (cumulative cap: 40.00%) by introducing Qualifying AUM, in 6 tranches of 5.00% each, triggered at the following Qualifying AUM thresholds: R 10m / R 20m / R 35m / R 55m / R 80m / R 110m. Tranches issued at nominal value at the first quarter-end after the threshold is achieved.</w:t>
            </w:r>
          </w:p>
        </w:tc>
      </w:tr>
      <w:tr>
        <w:tc>
          <w:tcPr>
            <w:tcW w:type="dxa" w:w="2551"/>
          </w:tcPr>
          <w:p>
            <w:r/>
            <w:r>
              <w:rPr>
                <w:sz w:val="20"/>
              </w:rPr>
              <w:t>Qualifying AUM</w:t>
            </w:r>
          </w:p>
        </w:tc>
        <w:tc>
          <w:tcPr>
            <w:tcW w:type="dxa" w:w="7087"/>
          </w:tcPr>
          <w:p>
            <w:r/>
            <w:r>
              <w:rPr>
                <w:sz w:val="20"/>
              </w:rPr>
              <w:t>Aggregate ZAR value of client assets (i) introduced by Simon (CRM-evidenced within 48 hours of first contact), (ii) retained for ≥ 6 months, (iii) measured as a rolling 30-day average, (iv) net of withdrawals, (v) excluding Simon's own and related-party capital.</w:t>
            </w:r>
          </w:p>
        </w:tc>
      </w:tr>
      <w:tr>
        <w:tc>
          <w:tcPr>
            <w:tcW w:type="dxa" w:w="2551"/>
          </w:tcPr>
          <w:p>
            <w:r/>
            <w:r>
              <w:rPr>
                <w:sz w:val="20"/>
              </w:rPr>
              <w:t>Earn-In Window</w:t>
            </w:r>
          </w:p>
        </w:tc>
        <w:tc>
          <w:tcPr>
            <w:tcW w:type="dxa" w:w="7087"/>
          </w:tcPr>
          <w:p>
            <w:r/>
            <w:r>
              <w:rPr>
                <w:sz w:val="20"/>
              </w:rPr>
              <w:t>5 years from the SHA effective date. Any unearned tranches lapse on expiry.</w:t>
            </w:r>
          </w:p>
        </w:tc>
      </w:tr>
      <w:tr>
        <w:tc>
          <w:tcPr>
            <w:tcW w:type="dxa" w:w="2551"/>
          </w:tcPr>
          <w:p>
            <w:r/>
            <w:r>
              <w:rPr>
                <w:sz w:val="20"/>
              </w:rPr>
              <w:t>Founder Equity Floor</w:t>
            </w:r>
          </w:p>
        </w:tc>
        <w:tc>
          <w:tcPr>
            <w:tcW w:type="dxa" w:w="7087"/>
          </w:tcPr>
          <w:p>
            <w:r/>
            <w:r>
              <w:rPr>
                <w:sz w:val="20"/>
              </w:rPr>
              <w:t>Founder shall at all times hold at least 60.00% of the issued ordinary shares (the maximum Simon can hold is 40.00%).</w:t>
            </w:r>
          </w:p>
        </w:tc>
      </w:tr>
      <w:tr>
        <w:tc>
          <w:tcPr>
            <w:tcW w:type="dxa" w:w="2551"/>
          </w:tcPr>
          <w:p>
            <w:r/>
            <w:r>
              <w:rPr>
                <w:sz w:val="20"/>
              </w:rPr>
              <w:t>Reverse Vesting (Simon — Initial 10%)</w:t>
            </w:r>
          </w:p>
        </w:tc>
        <w:tc>
          <w:tcPr>
            <w:tcW w:type="dxa" w:w="7087"/>
          </w:tcPr>
          <w:p>
            <w:r/>
            <w:r>
              <w:rPr>
                <w:sz w:val="20"/>
              </w:rPr>
              <w:t>Simon's initial 10% reverse-vests over 4 years with a 1-year cliff. Bad-leaver: unvested shares forfeit for R 100; vested shares may be repurchased at subscription price. Good-leaver: unvested forfeit; vested at fair market value.</w:t>
            </w:r>
          </w:p>
        </w:tc>
      </w:tr>
      <w:tr>
        <w:tc>
          <w:tcPr>
            <w:tcW w:type="dxa" w:w="2551"/>
          </w:tcPr>
          <w:p>
            <w:r/>
            <w:r>
              <w:rPr>
                <w:sz w:val="20"/>
              </w:rPr>
              <w:t>Reverse Vesting (Founder)</w:t>
            </w:r>
          </w:p>
        </w:tc>
        <w:tc>
          <w:tcPr>
            <w:tcW w:type="dxa" w:w="7087"/>
          </w:tcPr>
          <w:p>
            <w:r/>
            <w:r>
              <w:rPr>
                <w:sz w:val="20"/>
              </w:rPr>
              <w:t>None. Founder commitment is provided by (i) the IP shareholder loan (subordinated on Founder bad-leaver event), (ii) Founder restraint of trade, (iii) buy-and-sell life policy.</w:t>
            </w:r>
          </w:p>
        </w:tc>
      </w:tr>
      <w:tr>
        <w:tc>
          <w:tcPr>
            <w:tcW w:type="dxa" w:w="2551"/>
          </w:tcPr>
          <w:p>
            <w:r/>
            <w:r>
              <w:rPr>
                <w:sz w:val="20"/>
              </w:rPr>
              <w:t>Bad Leaver</w:t>
            </w:r>
          </w:p>
        </w:tc>
        <w:tc>
          <w:tcPr>
            <w:tcW w:type="dxa" w:w="7087"/>
          </w:tcPr>
          <w:p>
            <w:r/>
            <w:r>
              <w:rPr>
                <w:sz w:val="20"/>
              </w:rPr>
              <w:t>Voluntary resignation within 4 years, dismissal for cause (fraud, gross negligence, material SHA breach), breach of restraint of trade.</w:t>
            </w:r>
          </w:p>
        </w:tc>
      </w:tr>
      <w:tr>
        <w:tc>
          <w:tcPr>
            <w:tcW w:type="dxa" w:w="2551"/>
          </w:tcPr>
          <w:p>
            <w:r/>
            <w:r>
              <w:rPr>
                <w:sz w:val="20"/>
              </w:rPr>
              <w:t>Good Leaver</w:t>
            </w:r>
          </w:p>
        </w:tc>
        <w:tc>
          <w:tcPr>
            <w:tcW w:type="dxa" w:w="7087"/>
          </w:tcPr>
          <w:p>
            <w:r/>
            <w:r>
              <w:rPr>
                <w:sz w:val="20"/>
              </w:rPr>
              <w:t>Death, permanent disability, mutual termination, removal without cause, sale of company.</w:t>
            </w:r>
          </w:p>
        </w:tc>
      </w:tr>
      <w:tr>
        <w:tc>
          <w:tcPr>
            <w:tcW w:type="dxa" w:w="2551"/>
          </w:tcPr>
          <w:p>
            <w:r/>
            <w:r>
              <w:rPr>
                <w:sz w:val="20"/>
              </w:rPr>
              <w:t>Working Arrangement</w:t>
            </w:r>
          </w:p>
        </w:tc>
        <w:tc>
          <w:tcPr>
            <w:tcW w:type="dxa" w:w="7087"/>
          </w:tcPr>
          <w:p>
            <w:r/>
            <w:r>
              <w:rPr>
                <w:sz w:val="20"/>
              </w:rPr>
              <w:t>Both parties to work part-time on the Company until steady revenue is achieved. No salary payable to either party until the Company has sustained positive operating cash flow, at which point market-related remuneration will be agreed.</w:t>
            </w:r>
          </w:p>
        </w:tc>
      </w:tr>
      <w:tr>
        <w:tc>
          <w:tcPr>
            <w:tcW w:type="dxa" w:w="2551"/>
          </w:tcPr>
          <w:p>
            <w:r/>
            <w:r>
              <w:rPr>
                <w:sz w:val="20"/>
              </w:rPr>
              <w:t>Restraint of Trade</w:t>
            </w:r>
          </w:p>
        </w:tc>
        <w:tc>
          <w:tcPr>
            <w:tcW w:type="dxa" w:w="7087"/>
          </w:tcPr>
          <w:p>
            <w:r/>
            <w:r>
              <w:rPr>
                <w:sz w:val="20"/>
              </w:rPr>
              <w:t>Each party shall be bound by a 12-month post-departure restraint covering competing crypto-asset management activities in South Africa. Reasonable in scope and duration; to be confirmed by attorneys.</w:t>
            </w:r>
          </w:p>
        </w:tc>
      </w:tr>
      <w:tr>
        <w:tc>
          <w:tcPr>
            <w:tcW w:type="dxa" w:w="2551"/>
          </w:tcPr>
          <w:p>
            <w:r/>
            <w:r>
              <w:rPr>
                <w:sz w:val="20"/>
              </w:rPr>
              <w:t>Governance</w:t>
            </w:r>
          </w:p>
        </w:tc>
        <w:tc>
          <w:tcPr>
            <w:tcW w:type="dxa" w:w="7087"/>
          </w:tcPr>
          <w:p>
            <w:r/>
            <w:r>
              <w:rPr>
                <w:sz w:val="20"/>
              </w:rPr>
              <w:t>Board comprises Founder (Chair, casting vote) and Simon. Monthly management meetings; quarterly board meetings. Founder retains operational control while equity floor (60%) is maintained.</w:t>
            </w:r>
          </w:p>
        </w:tc>
      </w:tr>
      <w:tr>
        <w:tc>
          <w:tcPr>
            <w:tcW w:type="dxa" w:w="2551"/>
          </w:tcPr>
          <w:p>
            <w:r/>
            <w:r>
              <w:rPr>
                <w:sz w:val="20"/>
              </w:rPr>
              <w:t>Reserved Matters (require Simon's consent)</w:t>
            </w:r>
          </w:p>
        </w:tc>
        <w:tc>
          <w:tcPr>
            <w:tcW w:type="dxa" w:w="7087"/>
          </w:tcPr>
          <w:p>
            <w:r/>
            <w:r>
              <w:rPr>
                <w:sz w:val="20"/>
              </w:rPr>
              <w:t>Issue of new shares (other than earn-in tranches); change to share class structure; sale of all or substantially all assets; voluntary winding-up; material change in business activity; transactions with related parties exceeding R 250,000.</w:t>
            </w:r>
          </w:p>
        </w:tc>
      </w:tr>
      <w:tr>
        <w:tc>
          <w:tcPr>
            <w:tcW w:type="dxa" w:w="2551"/>
          </w:tcPr>
          <w:p>
            <w:r/>
            <w:r>
              <w:rPr>
                <w:sz w:val="20"/>
              </w:rPr>
              <w:t>Dividend Policy</w:t>
            </w:r>
          </w:p>
        </w:tc>
        <w:tc>
          <w:tcPr>
            <w:tcW w:type="dxa" w:w="7087"/>
          </w:tcPr>
          <w:p>
            <w:r/>
            <w:r>
              <w:rPr>
                <w:sz w:val="20"/>
              </w:rPr>
              <w:t>Dividends declared at Board's discretion only after (i) shareholder loans are current, (ii) regulatory capital requirements are met, (iii) 12-month operating reserve is maintained. Pro-rata to equity holdings.</w:t>
            </w:r>
          </w:p>
        </w:tc>
      </w:tr>
      <w:tr>
        <w:tc>
          <w:tcPr>
            <w:tcW w:type="dxa" w:w="2551"/>
          </w:tcPr>
          <w:p>
            <w:r/>
            <w:r>
              <w:rPr>
                <w:sz w:val="20"/>
              </w:rPr>
              <w:t>Right of First Refusal (ROFR)</w:t>
            </w:r>
          </w:p>
        </w:tc>
        <w:tc>
          <w:tcPr>
            <w:tcW w:type="dxa" w:w="7087"/>
          </w:tcPr>
          <w:p>
            <w:r/>
            <w:r>
              <w:rPr>
                <w:sz w:val="20"/>
              </w:rPr>
              <w:t>Neither party may transfer shares to a third party without first offering them to the other on the same terms. Founder approval required for any transfer.</w:t>
            </w:r>
          </w:p>
        </w:tc>
      </w:tr>
      <w:tr>
        <w:tc>
          <w:tcPr>
            <w:tcW w:type="dxa" w:w="2551"/>
          </w:tcPr>
          <w:p>
            <w:r/>
            <w:r>
              <w:rPr>
                <w:sz w:val="20"/>
              </w:rPr>
              <w:t>Tag-Along</w:t>
            </w:r>
          </w:p>
        </w:tc>
        <w:tc>
          <w:tcPr>
            <w:tcW w:type="dxa" w:w="7087"/>
          </w:tcPr>
          <w:p>
            <w:r/>
            <w:r>
              <w:rPr>
                <w:sz w:val="20"/>
              </w:rPr>
              <w:t>If the Founder sells more than 50% of his shares to a third party, Simon may tag along on the same terms pro-rata.</w:t>
            </w:r>
          </w:p>
        </w:tc>
      </w:tr>
      <w:tr>
        <w:tc>
          <w:tcPr>
            <w:tcW w:type="dxa" w:w="2551"/>
          </w:tcPr>
          <w:p>
            <w:r/>
            <w:r>
              <w:rPr>
                <w:sz w:val="20"/>
              </w:rPr>
              <w:t>Drag-Along</w:t>
            </w:r>
          </w:p>
        </w:tc>
        <w:tc>
          <w:tcPr>
            <w:tcW w:type="dxa" w:w="7087"/>
          </w:tcPr>
          <w:p>
            <w:r/>
            <w:r>
              <w:rPr>
                <w:sz w:val="20"/>
              </w:rPr>
              <w:t>If shareholders holding ≥ 75% accept a bona fide third-party offer for 100% of the Company, remaining shareholder(s) may be dragged on the same terms.</w:t>
            </w:r>
          </w:p>
        </w:tc>
      </w:tr>
      <w:tr>
        <w:tc>
          <w:tcPr>
            <w:tcW w:type="dxa" w:w="2551"/>
          </w:tcPr>
          <w:p>
            <w:r/>
            <w:r>
              <w:rPr>
                <w:sz w:val="20"/>
              </w:rPr>
              <w:t>Investment via Entity</w:t>
            </w:r>
          </w:p>
        </w:tc>
        <w:tc>
          <w:tcPr>
            <w:tcW w:type="dxa" w:w="7087"/>
          </w:tcPr>
          <w:p>
            <w:r/>
            <w:r>
              <w:rPr>
                <w:sz w:val="20"/>
              </w:rPr>
              <w:t>Simon may hold his shares via a wholly-owned company (including foreign), provided (i) transfer restrictions and ROFR apply on a look-through basis, (ii) Simon personally signs restraints and key-person commitments, (iii) tax-residency disclosures are provided.</w:t>
            </w:r>
          </w:p>
        </w:tc>
      </w:tr>
      <w:tr>
        <w:tc>
          <w:tcPr>
            <w:tcW w:type="dxa" w:w="2551"/>
          </w:tcPr>
          <w:p>
            <w:r/>
            <w:r>
              <w:rPr>
                <w:sz w:val="20"/>
              </w:rPr>
              <w:t>Future Products / Opcos</w:t>
            </w:r>
          </w:p>
        </w:tc>
        <w:tc>
          <w:tcPr>
            <w:tcW w:type="dxa" w:w="7087"/>
          </w:tcPr>
          <w:p>
            <w:r/>
            <w:r>
              <w:rPr>
                <w:sz w:val="20"/>
              </w:rPr>
              <w:t>Future strategies (Bitcoin Retirement Annuity, leverage strategies, RV trades, international fund) shall be housed in separate operating companies, each with its own IP and shareholding structure. Simon's participation in such opcos to be negotiated separately on a per-opco basis; no automatic right to participate.</w:t>
            </w:r>
          </w:p>
        </w:tc>
      </w:tr>
      <w:tr>
        <w:tc>
          <w:tcPr>
            <w:tcW w:type="dxa" w:w="2551"/>
          </w:tcPr>
          <w:p>
            <w:r/>
            <w:r>
              <w:rPr>
                <w:sz w:val="20"/>
              </w:rPr>
              <w:t>Confidentiality</w:t>
            </w:r>
          </w:p>
        </w:tc>
        <w:tc>
          <w:tcPr>
            <w:tcW w:type="dxa" w:w="7087"/>
          </w:tcPr>
          <w:p>
            <w:r/>
            <w:r>
              <w:rPr>
                <w:sz w:val="20"/>
              </w:rPr>
              <w:t>Both parties bound by confidentiality during and for 3 years after the SHA terminates.</w:t>
            </w:r>
          </w:p>
        </w:tc>
      </w:tr>
      <w:tr>
        <w:tc>
          <w:tcPr>
            <w:tcW w:type="dxa" w:w="2551"/>
          </w:tcPr>
          <w:p>
            <w:r/>
            <w:r>
              <w:rPr>
                <w:sz w:val="20"/>
              </w:rPr>
              <w:t>Costs</w:t>
            </w:r>
          </w:p>
        </w:tc>
        <w:tc>
          <w:tcPr>
            <w:tcW w:type="dxa" w:w="7087"/>
          </w:tcPr>
          <w:p>
            <w:r/>
            <w:r>
              <w:rPr>
                <w:sz w:val="20"/>
              </w:rPr>
              <w:t>Each party bears its own legal costs. Stamp duty / CIPC fees borne by the Company.</w:t>
            </w:r>
          </w:p>
        </w:tc>
      </w:tr>
      <w:tr>
        <w:tc>
          <w:tcPr>
            <w:tcW w:type="dxa" w:w="2551"/>
          </w:tcPr>
          <w:p>
            <w:r/>
            <w:r>
              <w:rPr>
                <w:sz w:val="20"/>
              </w:rPr>
              <w:t>Governing Law</w:t>
            </w:r>
          </w:p>
        </w:tc>
        <w:tc>
          <w:tcPr>
            <w:tcW w:type="dxa" w:w="7087"/>
          </w:tcPr>
          <w:p>
            <w:r/>
            <w:r>
              <w:rPr>
                <w:sz w:val="20"/>
              </w:rPr>
              <w:t>Laws of the Republic of South Africa. Disputes referred to arbitration under AFSA rules, seat Johannesburg.</w:t>
            </w:r>
          </w:p>
        </w:tc>
      </w:tr>
      <w:tr>
        <w:tc>
          <w:tcPr>
            <w:tcW w:type="dxa" w:w="2551"/>
          </w:tcPr>
          <w:p>
            <w:r/>
            <w:r>
              <w:rPr>
                <w:sz w:val="20"/>
              </w:rPr>
              <w:t>Exclusivity / Timing</w:t>
            </w:r>
          </w:p>
        </w:tc>
        <w:tc>
          <w:tcPr>
            <w:tcW w:type="dxa" w:w="7087"/>
          </w:tcPr>
          <w:p>
            <w:r/>
            <w:r>
              <w:rPr>
                <w:sz w:val="20"/>
              </w:rPr>
              <w:t>Both parties agree to negotiate exclusively for 30 days from signature of this term sheet, targeting full SHA execution within 60 days.</w:t>
            </w:r>
          </w:p>
        </w:tc>
      </w:tr>
    </w:tbl>
    <w:p/>
    <w:p>
      <w:r>
        <w:rPr>
          <w:b/>
          <w:i w:val="0"/>
          <w:color w:val="1A1A1A"/>
          <w:sz w:val="20"/>
        </w:rPr>
        <w:t>Acknowledged and agreed (non-binding):</w:t>
      </w:r>
    </w:p>
    <w:p/>
    <w:tbl>
      <w:tblPr>
        <w:tblW w:type="auto" w:w="0"/>
        <w:tblLook w:firstColumn="1" w:firstRow="1" w:lastColumn="0" w:lastRow="0" w:noHBand="0" w:noVBand="1" w:val="04A0"/>
      </w:tblPr>
      <w:tblGrid>
        <w:gridCol w:w="5100"/>
        <w:gridCol w:w="5100"/>
      </w:tblGrid>
      <w:tr>
        <w:tc>
          <w:tcPr>
            <w:tcW w:type="dxa" w:w="5100"/>
          </w:tcPr>
          <w:p>
            <w:r>
              <w:rPr>
                <w:sz w:val="20"/>
              </w:rPr>
              <w:t>Davin Harald Gaier</w:t>
            </w:r>
          </w:p>
        </w:tc>
        <w:tc>
          <w:tcPr>
            <w:tcW w:type="dxa" w:w="5100"/>
          </w:tcPr>
          <w:p>
            <w:r>
              <w:rPr>
                <w:sz w:val="20"/>
              </w:rPr>
              <w:t>Simon Hobday</w:t>
            </w:r>
          </w:p>
        </w:tc>
      </w:tr>
      <w:tr>
        <w:tc>
          <w:tcPr>
            <w:tcW w:type="dxa" w:w="5100"/>
          </w:tcPr>
          <w:p>
            <w:r>
              <w:rPr>
                <w:sz w:val="20"/>
              </w:rPr>
              <w:t>Founder, BitWealth (Pty) Ltd</w:t>
            </w:r>
          </w:p>
        </w:tc>
        <w:tc>
          <w:tcPr>
            <w:tcW w:type="dxa" w:w="5100"/>
          </w:tcPr>
          <w:p>
            <w:r>
              <w:rPr>
                <w:sz w:val="20"/>
              </w:rPr>
              <w:t>Distribution Director (proposed)</w:t>
            </w:r>
          </w:p>
        </w:tc>
      </w:tr>
      <w:tr>
        <w:tc>
          <w:tcPr>
            <w:tcW w:type="dxa" w:w="5100"/>
          </w:tcPr>
          <w:p>
            <w:r>
              <w:rPr>
                <w:sz w:val="20"/>
              </w:rPr>
              <w:t>Signature: _____________________________</w:t>
            </w:r>
          </w:p>
        </w:tc>
        <w:tc>
          <w:tcPr>
            <w:tcW w:type="dxa" w:w="5100"/>
          </w:tcPr>
          <w:p>
            <w:r>
              <w:rPr>
                <w:sz w:val="20"/>
              </w:rPr>
              <w:t>Signature: _____________________________</w:t>
            </w:r>
          </w:p>
        </w:tc>
      </w:tr>
      <w:tr>
        <w:tc>
          <w:tcPr>
            <w:tcW w:type="dxa" w:w="5100"/>
          </w:tcPr>
          <w:p>
            <w:r>
              <w:rPr>
                <w:sz w:val="20"/>
              </w:rPr>
              <w:t>Date: _____________</w:t>
            </w:r>
          </w:p>
        </w:tc>
        <w:tc>
          <w:tcPr>
            <w:tcW w:type="dxa" w:w="5100"/>
          </w:tcPr>
          <w:p>
            <w:r>
              <w:rPr>
                <w:sz w:val="20"/>
              </w:rPr>
              <w:t>Date: _____________</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