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411"/>
      </w:tblGrid>
      <w:tr>
        <w:tc>
          <w:tcPr>
            <w:tcW w:type="dxa" w:w="9746"/>
            <w:shd w:val="clear" w:color="auto" w:fill="D9E2F3"/>
          </w:tcPr>
          <w:p>
            <w:pPr>
              <w:spacing w:before="80" w:after="80"/>
              <w:jc w:val="left"/>
            </w:pPr>
            <w:r>
              <w:rPr>
                <w:rFonts w:ascii="Calibri" w:hAnsi="Calibri"/>
                <w:b w:val="0"/>
                <w:i/>
                <w:color w:val="173F5F"/>
                <w:sz w:val="24"/>
              </w:rPr>
              <w:t>Annexure [●]: BitWealth Bitcoin LTH PVR Strategy</w:t>
            </w:r>
          </w:p>
        </w:tc>
      </w:tr>
    </w:tbl>
    <w:p>
      <w:pPr>
        <w:spacing w:after="80"/>
      </w:pPr>
    </w:p>
    <w:p>
      <w:pPr>
        <w:spacing w:before="0" w:after="40"/>
        <w:jc w:val="center"/>
      </w:pPr>
      <w:r>
        <w:rPr>
          <w:rFonts w:ascii="Calibri" w:hAnsi="Calibri"/>
          <w:b w:val="0"/>
          <w:i w:val="0"/>
          <w:color w:val="1A1A1A"/>
          <w:sz w:val="20"/>
          <w:u w:val="none"/>
        </w:rPr>
        <w:t>entered into between Finova (PTY) Ltd ("Finova") and</w:t>
      </w:r>
    </w:p>
    <w:p>
      <w:pPr>
        <w:spacing w:before="0" w:after="0"/>
        <w:jc w:val="center"/>
      </w:pPr>
      <w:r>
        <w:rPr>
          <w:rFonts w:ascii="Calibri" w:hAnsi="Calibri"/>
          <w:b w:val="0"/>
          <w:i w:val="0"/>
          <w:color w:val="1A1A1A"/>
          <w:sz w:val="20"/>
          <w:u w:val="none"/>
        </w:rPr>
        <w:t>………………………………………………………………………………………………………………………………</w:t>
      </w:r>
    </w:p>
    <w:p>
      <w:pPr>
        <w:spacing w:before="0" w:after="160"/>
        <w:jc w:val="center"/>
      </w:pPr>
      <w:r>
        <w:rPr>
          <w:rFonts w:ascii="Calibri" w:hAnsi="Calibri"/>
          <w:b w:val="0"/>
          <w:i/>
          <w:color w:val="1A1A1A"/>
          <w:sz w:val="20"/>
          <w:u w:val="none"/>
        </w:rPr>
        <w:t>("The Client")</w:t>
      </w:r>
    </w:p>
    <w:p>
      <w:pPr>
        <w:spacing w:before="0" w:after="120"/>
        <w:jc w:val="both"/>
      </w:pPr>
      <w:r>
        <w:rPr>
          <w:rFonts w:ascii="Calibri" w:hAnsi="Calibri"/>
          <w:b w:val="0"/>
          <w:i w:val="0"/>
          <w:color w:val="1A1A1A"/>
          <w:sz w:val="20"/>
          <w:u w:val="none"/>
        </w:rPr>
        <w:t>BitWealth Asset Managers (Pty) Ltd (“BitWealth”), a Juristic Representative of Finova (PTY) Ltd (FSP No. 21095), offers a proprietary Bitcoin investment management service known as the BitWealth Bitcoin LTH PVR Strategy (“the Strategy”). This Strategy operates as a fully rules-based, algorithm-driven Bitcoin accumulation and risk-management service executed on the VALR exchange within a segregated client sub-account. No cross-border transfer of funds or forex externalization is required.</w:t>
      </w:r>
    </w:p>
    <w:p>
      <w:pPr>
        <w:keepNext/>
        <w:spacing w:before="160" w:after="40"/>
      </w:pPr>
      <w:r>
        <w:rPr>
          <w:rFonts w:ascii="Calibri" w:hAnsi="Calibri"/>
          <w:b/>
          <w:color w:val="1A1A1A"/>
          <w:sz w:val="20"/>
        </w:rPr>
        <w:t>The Strategy — How it Works</w:t>
      </w:r>
    </w:p>
    <w:p>
      <w:pPr>
        <w:spacing w:before="40" w:after="80"/>
        <w:jc w:val="both"/>
      </w:pPr>
      <w:r>
        <w:rPr>
          <w:rFonts w:ascii="Calibri" w:hAnsi="Calibri"/>
          <w:b w:val="0"/>
          <w:i w:val="0"/>
          <w:color w:val="1A1A1A"/>
          <w:sz w:val="20"/>
          <w:u w:val="none"/>
        </w:rPr>
        <w:t>The Strategy is based on the Long-Term Holder Price Variance Ratio (LTH PVR), a proprietary on-chain analytical model. The LTH PVR measures the deviation between the current Bitcoin market price and the average acquisition cost (cost basis) of long-term Bitcoin holders — defined as holders who have not moved their Bitcoin for 155 days or more. This metric provides a signal of whether Bitcoin is statistically undervalued or overvalued relative to its most committed holders.</w:t>
      </w:r>
    </w:p>
    <w:p>
      <w:pPr>
        <w:spacing w:before="40" w:after="80"/>
        <w:jc w:val="both"/>
      </w:pPr>
      <w:r>
        <w:rPr>
          <w:rFonts w:ascii="Calibri" w:hAnsi="Calibri"/>
          <w:b w:val="0"/>
          <w:i w:val="0"/>
          <w:color w:val="1A1A1A"/>
          <w:sz w:val="20"/>
          <w:u w:val="none"/>
        </w:rPr>
        <w:t>The algorithm generates a daily signal that determines one of three actions:</w:t>
      </w:r>
    </w:p>
    <w:p>
      <w:pPr>
        <w:pStyle w:val="ListBullet"/>
        <w:spacing w:before="20" w:after="60"/>
        <w:ind w:left="454"/>
        <w:jc w:val="both"/>
      </w:pPr>
      <w:r>
        <w:rPr>
          <w:rFonts w:ascii="Calibri" w:hAnsi="Calibri"/>
          <w:color w:val="1A1A1A"/>
          <w:sz w:val="20"/>
        </w:rPr>
        <w:t>BUY — when the LTH PVR indicates that Bitcoin is trading at a significant discount relative to long-term holder cost basis (signal: accumulate);</w:t>
      </w:r>
    </w:p>
    <w:p>
      <w:pPr>
        <w:pStyle w:val="ListBullet"/>
        <w:spacing w:before="20" w:after="60"/>
        <w:ind w:left="454"/>
        <w:jc w:val="both"/>
      </w:pPr>
      <w:r>
        <w:rPr>
          <w:rFonts w:ascii="Calibri" w:hAnsi="Calibri"/>
          <w:color w:val="1A1A1A"/>
          <w:sz w:val="20"/>
        </w:rPr>
        <w:t>SELL / REDUCE — when the LTH PVR indicates that Bitcoin is trading at a significant premium relative to long-term holder cost basis (signal: reduce exposure);</w:t>
      </w:r>
    </w:p>
    <w:p>
      <w:pPr>
        <w:pStyle w:val="ListBullet"/>
        <w:spacing w:before="20" w:after="60"/>
        <w:ind w:left="454"/>
        <w:jc w:val="both"/>
      </w:pPr>
      <w:r>
        <w:rPr>
          <w:rFonts w:ascii="Calibri" w:hAnsi="Calibri"/>
          <w:color w:val="1A1A1A"/>
          <w:sz w:val="20"/>
        </w:rPr>
        <w:t>HOLD — when the LTH PVR indicates a neutral zone (no trade is executed).</w:t>
      </w:r>
    </w:p>
    <w:p>
      <w:pPr>
        <w:spacing w:before="40" w:after="80"/>
        <w:jc w:val="both"/>
      </w:pPr>
      <w:r>
        <w:rPr>
          <w:rFonts w:ascii="Calibri" w:hAnsi="Calibri"/>
          <w:b w:val="0"/>
          <w:i w:val="0"/>
          <w:color w:val="1A1A1A"/>
          <w:sz w:val="20"/>
          <w:u w:val="none"/>
        </w:rPr>
        <w:t>Trades are executed as LIMIT orders on the VALR exchange. If a limit order is not filled within 5 minutes, it is automatically cancelled and replaced with a MARKET order to ensure execution. The Client’s assets are held at all times in a segregated, dedicated sub-account on VALR — BitWealth does not hold or receive client funds.</w:t>
      </w:r>
    </w:p>
    <w:p>
      <w:pPr>
        <w:spacing w:before="40" w:after="80"/>
        <w:jc w:val="both"/>
      </w:pPr>
      <w:r>
        <w:rPr>
          <w:rFonts w:ascii="Calibri" w:hAnsi="Calibri"/>
          <w:b w:val="0"/>
          <w:i w:val="0"/>
          <w:color w:val="1A1A1A"/>
          <w:sz w:val="20"/>
          <w:u w:val="none"/>
        </w:rPr>
        <w:t>The Strategy may be funded by a once-off lump-sum investment of at least R 50 000 (Fifty Thousand Rand), and / or a recurring monthly DCA contribution of at least R 500 per month. Withdrawals may be requested at any time with 5 (five) business days’ written notice.</w:t>
      </w:r>
    </w:p>
    <w:p>
      <w:pPr>
        <w:keepNext/>
        <w:spacing w:before="160" w:after="40"/>
      </w:pPr>
      <w:r>
        <w:rPr>
          <w:rFonts w:ascii="Calibri" w:hAnsi="Calibri"/>
          <w:b/>
          <w:color w:val="1A1A1A"/>
          <w:sz w:val="20"/>
        </w:rPr>
        <w:t>Automated Execution and Reserved Discretion</w:t>
      </w:r>
    </w:p>
    <w:p>
      <w:pPr>
        <w:spacing w:before="40" w:after="80"/>
        <w:jc w:val="both"/>
      </w:pPr>
      <w:r>
        <w:rPr>
          <w:rFonts w:ascii="Calibri" w:hAnsi="Calibri"/>
          <w:b w:val="0"/>
          <w:i w:val="0"/>
          <w:color w:val="1A1A1A"/>
          <w:sz w:val="20"/>
          <w:u w:val="none"/>
        </w:rPr>
        <w:t>The Strategy is fully automated. Once the Client’s account is configured and funded, signals are generated and orders placed without manual intervention. However, BitWealth expressly reserves discretion to override, pause, or modify automated execution in the following exceptional circumstance:</w:t>
      </w:r>
    </w:p>
    <w:p>
      <w:pPr>
        <w:pStyle w:val="ListBullet"/>
        <w:spacing w:before="20" w:after="60"/>
        <w:ind w:left="454"/>
        <w:jc w:val="both"/>
      </w:pPr>
      <w:r>
        <w:rPr>
          <w:rFonts w:ascii="Calibri" w:hAnsi="Calibri"/>
          <w:color w:val="1A1A1A"/>
          <w:sz w:val="20"/>
        </w:rPr>
        <w:t>MARKET STRUCTURE CHANGE — a fundamental, structural change in the Bitcoin market, on-chain data architecture, or exchange infrastructure that renders the LTH PVR signals unreliable or inapplicable (for example, a protocol-level hard fork that materially alters the on-chain data on which the algorithm depends).</w:t>
      </w:r>
    </w:p>
    <w:p>
      <w:pPr>
        <w:spacing w:before="40" w:after="80"/>
        <w:jc w:val="both"/>
      </w:pPr>
      <w:r>
        <w:rPr>
          <w:rFonts w:ascii="Calibri" w:hAnsi="Calibri"/>
          <w:b w:val="0"/>
          <w:i w:val="0"/>
          <w:color w:val="1A1A1A"/>
          <w:sz w:val="20"/>
          <w:u w:val="none"/>
        </w:rPr>
        <w:t>Any exercise of discretion will be: (a) documented and motivated in writing; (b) limited to the minimum action necessary to protect the Client’s interests; and (c) notified to the Client within 2 (two) business days of the action being taken. Outside of the above exception, the Strategy will not deviate from its rules-based signals.</w:t>
      </w:r>
    </w:p>
    <w:p>
      <w:pPr>
        <w:keepNext/>
        <w:spacing w:before="160" w:after="40"/>
      </w:pPr>
      <w:r>
        <w:rPr>
          <w:rFonts w:ascii="Calibri" w:hAnsi="Calibri"/>
          <w:b/>
          <w:color w:val="1A1A1A"/>
          <w:sz w:val="20"/>
        </w:rPr>
        <w:t>Risks</w:t>
      </w:r>
    </w:p>
    <w:p>
      <w:pPr>
        <w:spacing w:before="40" w:after="80"/>
        <w:jc w:val="both"/>
      </w:pPr>
      <w:r>
        <w:rPr>
          <w:rFonts w:ascii="Calibri" w:hAnsi="Calibri"/>
          <w:b w:val="0"/>
          <w:i w:val="0"/>
          <w:color w:val="1A1A1A"/>
          <w:sz w:val="20"/>
          <w:u w:val="none"/>
        </w:rPr>
        <w:t>Bitcoin is a high-risk, highly volatile asset. Past or back-tested performance of the LTH PVR Strategy is not a guarantee of future results. The Client acknowledges the following risks, which are not exhaustive:</w:t>
      </w:r>
    </w:p>
    <w:p>
      <w:pPr>
        <w:pStyle w:val="ListBullet"/>
        <w:spacing w:before="20" w:after="60"/>
        <w:ind w:left="454"/>
        <w:jc w:val="both"/>
      </w:pPr>
      <w:r>
        <w:rPr>
          <w:rFonts w:ascii="Calibri" w:hAnsi="Calibri"/>
          <w:color w:val="1A1A1A"/>
          <w:sz w:val="20"/>
        </w:rPr>
        <w:t>Bitcoin price may decline sharply and rapidly. The Client may receive back less than the amount invested.</w:t>
      </w:r>
    </w:p>
    <w:p>
      <w:pPr>
        <w:pStyle w:val="ListBullet"/>
        <w:spacing w:before="20" w:after="60"/>
        <w:ind w:left="454"/>
        <w:jc w:val="both"/>
      </w:pPr>
      <w:r>
        <w:rPr>
          <w:rFonts w:ascii="Calibri" w:hAnsi="Calibri"/>
          <w:color w:val="1A1A1A"/>
          <w:sz w:val="20"/>
        </w:rPr>
        <w:t>The LTH PVR algorithm is based on on-chain data sourced from a third-party data provider (Research Bitcoin). Inaccurate, delayed, or unavailable data may cause incorrect signals or missed trades.</w:t>
      </w:r>
    </w:p>
    <w:p>
      <w:pPr>
        <w:pStyle w:val="ListBullet"/>
        <w:spacing w:before="20" w:after="60"/>
        <w:ind w:left="454"/>
        <w:jc w:val="both"/>
      </w:pPr>
      <w:r>
        <w:rPr>
          <w:rFonts w:ascii="Calibri" w:hAnsi="Calibri"/>
          <w:color w:val="1A1A1A"/>
          <w:sz w:val="20"/>
        </w:rPr>
        <w:t>All trades are executed on the VALR exchange. The Client is exposed to exchange operational risk, including downtime, technical failure, and counterparty risk.</w:t>
      </w:r>
    </w:p>
    <w:p>
      <w:pPr>
        <w:pStyle w:val="ListBullet"/>
        <w:spacing w:before="20" w:after="60"/>
        <w:ind w:left="454"/>
        <w:jc w:val="both"/>
      </w:pPr>
      <w:r>
        <w:rPr>
          <w:rFonts w:ascii="Calibri" w:hAnsi="Calibri"/>
          <w:color w:val="1A1A1A"/>
          <w:sz w:val="20"/>
        </w:rPr>
        <w:t>Bitcoin is a relatively new asset class. South African and international regulatory frameworks governing crypto assets are evolving. Future regulatory changes may affect the operation of the Strategy, the VALR exchange, or the Client’s access to their assets.</w:t>
      </w:r>
    </w:p>
    <w:p>
      <w:pPr>
        <w:pStyle w:val="ListBullet"/>
        <w:spacing w:before="20" w:after="60"/>
        <w:ind w:left="454"/>
        <w:jc w:val="both"/>
      </w:pPr>
      <w:r>
        <w:rPr>
          <w:rFonts w:ascii="Calibri" w:hAnsi="Calibri"/>
          <w:color w:val="1A1A1A"/>
          <w:sz w:val="20"/>
        </w:rPr>
        <w:t>The Client’s assets are held in a VALR sub-account. VALR is a licensed crypto asset service provider in South Africa, but client assets held on an exchange are not covered by the Investor Protection Compensation Scheme applicable to traditional securities.</w:t>
      </w:r>
    </w:p>
    <w:p>
      <w:pPr>
        <w:pStyle w:val="ListBullet"/>
        <w:spacing w:before="20" w:after="60"/>
        <w:ind w:left="454"/>
        <w:jc w:val="both"/>
      </w:pPr>
      <w:r>
        <w:rPr>
          <w:rFonts w:ascii="Calibri" w:hAnsi="Calibri"/>
          <w:color w:val="1A1A1A"/>
          <w:sz w:val="20"/>
        </w:rPr>
        <w:t>No warranties, guarantees or representations regarding returns are made. The Client should consider the appropriateness of this Strategy for their personal financial circumstances before investing.</w:t>
      </w:r>
    </w:p>
    <w:p>
      <w:pPr>
        <w:keepNext/>
        <w:spacing w:before="160" w:after="40"/>
      </w:pPr>
      <w:r>
        <w:rPr>
          <w:rFonts w:ascii="Calibri" w:hAnsi="Calibri"/>
          <w:b/>
          <w:color w:val="1A1A1A"/>
          <w:sz w:val="20"/>
        </w:rPr>
        <w:t>Fees</w:t>
      </w:r>
    </w:p>
    <w:p>
      <w:pPr>
        <w:spacing w:before="40" w:after="80"/>
        <w:jc w:val="both"/>
      </w:pPr>
      <w:r>
        <w:rPr>
          <w:rFonts w:ascii="Calibri" w:hAnsi="Calibri"/>
          <w:b w:val="0"/>
          <w:i w:val="0"/>
          <w:color w:val="1A1A1A"/>
          <w:sz w:val="20"/>
          <w:u w:val="none"/>
        </w:rPr>
        <w:t>The following fees apply to the Strategy. Applicable rates are as agreed between the Client and BitWealth and recorded in the Client’s individual fee schedule:</w:t>
      </w:r>
    </w:p>
    <w:p>
      <w:pPr>
        <w:spacing w:before="40" w:after="80"/>
        <w:jc w:val="both"/>
      </w:pPr>
      <w:r>
        <w:rPr>
          <w:rFonts w:ascii="Calibri" w:hAnsi="Calibri"/>
          <w:b/>
          <w:i w:val="0"/>
          <w:color w:val="1A1A1A"/>
          <w:sz w:val="20"/>
        </w:rPr>
        <w:t xml:space="preserve">Performance Fee with High-Water Mark (HWM): </w:t>
      </w:r>
      <w:r>
        <w:rPr>
          <w:rFonts w:ascii="Calibri" w:hAnsi="Calibri"/>
          <w:b w:val="0"/>
          <w:i w:val="0"/>
          <w:color w:val="1A1A1A"/>
          <w:sz w:val="20"/>
        </w:rPr>
        <w:t xml:space="preserve">[●]% of net profits above the High-Water Mark, calculated and deducted </w:t>
      </w:r>
      <w:r>
        <w:rPr>
          <w:rFonts w:ascii="Calibri" w:hAnsi="Calibri"/>
          <w:b w:val="0"/>
          <w:i/>
          <w:color w:val="1A1A1A"/>
          <w:sz w:val="20"/>
        </w:rPr>
        <w:t>quarterly</w:t>
      </w:r>
      <w:r>
        <w:rPr>
          <w:rFonts w:ascii="Calibri" w:hAnsi="Calibri"/>
          <w:b w:val="0"/>
          <w:i w:val="0"/>
          <w:color w:val="1A1A1A"/>
          <w:sz w:val="20"/>
        </w:rPr>
        <w:t xml:space="preserve">. </w:t>
      </w:r>
    </w:p>
    <w:p>
      <w:pPr>
        <w:spacing w:before="0" w:after="80"/>
        <w:jc w:val="both"/>
      </w:pPr>
      <w:r>
        <w:rPr>
          <w:rFonts w:ascii="Calibri" w:hAnsi="Calibri"/>
          <w:b w:val="0"/>
          <w:i w:val="0"/>
          <w:color w:val="1A1A1A"/>
          <w:sz w:val="20"/>
          <w:u w:val="none"/>
        </w:rPr>
        <w:t>The High-Water Mark (HWM) is the highest net asset value (NAV) that the Client’s portfolio has previously achieved. Performance fees are charged only on new net profits that exceed this highest point. If the portfolio value falls and subsequently recovers, performance fees are charged only on the recovery above the previous high — not on the full portfolio value. This ensures the Client never pays performance fees on the same gains twice.</w:t>
      </w:r>
    </w:p>
    <w:p>
      <w:pPr>
        <w:spacing w:before="40" w:after="80"/>
        <w:jc w:val="both"/>
      </w:pPr>
      <w:r>
        <w:rPr>
          <w:rFonts w:ascii="Calibri" w:hAnsi="Calibri"/>
          <w:b/>
          <w:i w:val="0"/>
          <w:color w:val="1A1A1A"/>
          <w:sz w:val="20"/>
        </w:rPr>
        <w:t xml:space="preserve">Management Fee: </w:t>
      </w:r>
      <w:r>
        <w:rPr>
          <w:rFonts w:ascii="Calibri" w:hAnsi="Calibri"/>
          <w:b w:val="0"/>
          <w:i w:val="0"/>
          <w:color w:val="1A1A1A"/>
          <w:sz w:val="20"/>
        </w:rPr>
        <w:t>[●]% per annum of the average portfolio value, calculated monthly and deducted from the portfolio at month-end. The management fee is charged regardless of portfolio performance.</w:t>
      </w:r>
    </w:p>
    <w:p>
      <w:pPr>
        <w:spacing w:before="0" w:after="80"/>
        <w:jc w:val="both"/>
      </w:pPr>
      <w:r>
        <w:rPr>
          <w:rFonts w:ascii="Calibri" w:hAnsi="Calibri"/>
          <w:b w:val="0"/>
          <w:i w:val="0"/>
          <w:color w:val="1A1A1A"/>
          <w:sz w:val="20"/>
          <w:u w:val="none"/>
        </w:rPr>
        <w:t>Exchange fees charged by VALR on each trade are for the Client’s account. BitWealth receives a revenue share from VALR in respect of exchange fees and this does not result in any additional charge to the Client.</w:t>
      </w:r>
    </w:p>
    <w:p>
      <w:pPr>
        <w:keepNext/>
        <w:spacing w:before="160" w:after="40"/>
      </w:pPr>
      <w:r>
        <w:rPr>
          <w:rFonts w:ascii="Calibri" w:hAnsi="Calibri"/>
          <w:b/>
          <w:color w:val="1A1A1A"/>
          <w:sz w:val="20"/>
        </w:rPr>
        <w:t>Authorization and Power of Attorney</w:t>
      </w:r>
    </w:p>
    <w:p>
      <w:pPr>
        <w:spacing w:before="40" w:after="80"/>
        <w:jc w:val="both"/>
      </w:pPr>
      <w:r>
        <w:rPr>
          <w:rFonts w:ascii="Calibri" w:hAnsi="Calibri"/>
          <w:b w:val="0"/>
          <w:i w:val="0"/>
          <w:color w:val="1A1A1A"/>
          <w:sz w:val="20"/>
          <w:u w:val="none"/>
        </w:rPr>
        <w:t>By signing below, the Client authorises and instructs Finova and BitWealth to act on the Client’s behalf in connection with the Strategy for so long as this Addendum remains in force:</w:t>
      </w:r>
    </w:p>
    <w:p>
      <w:pPr>
        <w:pStyle w:val="ListBullet"/>
        <w:spacing w:before="20" w:after="60"/>
        <w:ind w:left="454"/>
        <w:jc w:val="both"/>
      </w:pPr>
      <w:r>
        <w:rPr>
          <w:rFonts w:ascii="Calibri" w:hAnsi="Calibri"/>
          <w:color w:val="1A1A1A"/>
          <w:sz w:val="20"/>
        </w:rPr>
        <w:t>The Client authorises BitWealth and / or Finova to open and administer a dedicated sub-account on the VALR exchange in the Client’s name, including completing all required FICA / KYC documentation on the Client’s behalf to give effect to the above.</w:t>
      </w:r>
    </w:p>
    <w:p>
      <w:pPr>
        <w:pStyle w:val="ListBullet"/>
        <w:spacing w:before="20" w:after="60"/>
        <w:ind w:left="454"/>
        <w:jc w:val="both"/>
      </w:pPr>
      <w:r>
        <w:rPr>
          <w:rFonts w:ascii="Calibri" w:hAnsi="Calibri"/>
          <w:color w:val="1A1A1A"/>
          <w:sz w:val="20"/>
        </w:rPr>
        <w:t>The Client authorises BitWealth to execute buy and sell orders in Bitcoin on the VALR exchange on the Client’s behalf, in accordance with the LTH PVR algorithm signals, without requiring a separate instruction for each individual trade.</w:t>
      </w:r>
    </w:p>
    <w:p>
      <w:pPr>
        <w:pStyle w:val="ListBullet"/>
        <w:spacing w:before="20" w:after="60"/>
        <w:ind w:left="454"/>
        <w:jc w:val="both"/>
      </w:pPr>
      <w:r>
        <w:rPr>
          <w:rFonts w:ascii="Calibri" w:hAnsi="Calibri"/>
          <w:color w:val="1A1A1A"/>
          <w:sz w:val="20"/>
        </w:rPr>
        <w:t>The Client authorises BitWealth to move funds between the Client’s ZAR (cash) wallet and Bitcoin wallet on VALR as required by the Strategy, within the limits of the Client’s funded balance.</w:t>
      </w:r>
    </w:p>
    <w:p>
      <w:pPr>
        <w:pStyle w:val="ListBullet"/>
        <w:spacing w:before="20" w:after="60"/>
        <w:ind w:left="454"/>
        <w:jc w:val="both"/>
      </w:pPr>
      <w:r>
        <w:rPr>
          <w:rFonts w:ascii="Calibri" w:hAnsi="Calibri"/>
          <w:color w:val="1A1A1A"/>
          <w:sz w:val="20"/>
        </w:rPr>
        <w:t>The Client acknowledges the fully automated and rules-based nature of the Strategy and accepts that trades will be executed by the algorithm without prior notification of each individual transaction.</w:t>
      </w:r>
    </w:p>
    <w:p>
      <w:pPr>
        <w:pStyle w:val="ListBullet"/>
        <w:spacing w:before="20" w:after="60"/>
        <w:ind w:left="454"/>
        <w:jc w:val="both"/>
      </w:pPr>
      <w:r>
        <w:rPr>
          <w:rFonts w:ascii="Calibri" w:hAnsi="Calibri"/>
          <w:color w:val="1A1A1A"/>
          <w:sz w:val="20"/>
        </w:rPr>
        <w:t>The Client acknowledges the High-Water Mark fee structure described above and authorises the deduction of fees from the portfolio at the intervals stated.</w:t>
      </w:r>
    </w:p>
    <w:p>
      <w:pPr>
        <w:pStyle w:val="ListBullet"/>
        <w:spacing w:before="20" w:after="60"/>
        <w:ind w:left="454"/>
        <w:jc w:val="both"/>
      </w:pPr>
      <w:r>
        <w:rPr>
          <w:rFonts w:ascii="Calibri" w:hAnsi="Calibri"/>
          <w:color w:val="1A1A1A"/>
          <w:sz w:val="20"/>
        </w:rPr>
        <w:t>The Client confirms that they have read and understood the risks set out in this Addendum, have considered the appropriateness of the Strategy for their personal financial circumstances, and have obtained or waived independent financial advice.</w:t>
      </w:r>
    </w:p>
    <w:p>
      <w:pPr>
        <w:spacing w:before="120" w:after="160"/>
        <w:jc w:val="both"/>
      </w:pPr>
      <w:r>
        <w:rPr>
          <w:rFonts w:ascii="Calibri" w:hAnsi="Calibri"/>
          <w:b w:val="0"/>
          <w:i w:val="0"/>
          <w:color w:val="1A1A1A"/>
          <w:sz w:val="20"/>
          <w:u w:val="none"/>
        </w:rPr>
        <w:t>This Addendum is incorporated into and forms part of the Finova Client Mandate Agreement signed by the Client. In the event of any conflict between this Addendum and the main Mandate Agreement, this Addendum prevails in respect of the BitWealth Bitcoin LTH PVR Strategy.</w:t>
      </w:r>
    </w:p>
    <w:p>
      <w:pPr>
        <w:spacing w:before="40" w:after="40"/>
        <w:pBdr>
          <w:bottom w:val="single" w:sz="4" w:space="1" w:color="173F5F"/>
        </w:pBdr>
      </w:pPr>
    </w:p>
    <w:tbl>
      <w:tblPr>
        <w:tblStyle w:val="TableGrid"/>
        <w:tblW w:type="auto" w:w="0"/>
        <w:jc w:val="center"/>
        <w:tblLook w:firstColumn="1" w:firstRow="1" w:lastColumn="0" w:lastRow="0" w:noHBand="0" w:noVBand="1" w:val="04A0"/>
      </w:tblPr>
      <w:tblGrid>
        <w:gridCol w:w="4873"/>
        <w:gridCol w:w="4873"/>
      </w:tblGrid>
      <w:tr>
        <w:tc>
          <w:tcPr>
            <w:tcW w:type="dxa" w:w="4535"/>
          </w:tcPr>
          <w:p>
            <w:pPr>
              <w:jc w:val="left"/>
            </w:pPr>
            <w:r>
              <w:rPr>
                <w:rFonts w:ascii="Calibri" w:hAnsi="Calibri"/>
                <w:color w:val="1A1A1A"/>
                <w:sz w:val="20"/>
              </w:rPr>
              <w:t xml:space="preserve">For and on behalf of </w:t>
            </w:r>
            <w:r>
              <w:rPr>
                <w:rFonts w:ascii="Calibri" w:hAnsi="Calibri"/>
                <w:b/>
                <w:color w:val="1A1A1A"/>
                <w:sz w:val="20"/>
              </w:rPr>
              <w:t>by the Client</w:t>
            </w:r>
            <w:r>
              <w:rPr>
                <w:rFonts w:ascii="Calibri" w:hAnsi="Calibri"/>
                <w:color w:val="1A1A1A"/>
                <w:sz w:val="20"/>
              </w:rPr>
              <w:t>:</w:t>
            </w:r>
          </w:p>
        </w:tc>
        <w:tc>
          <w:tcPr>
            <w:tcW w:type="dxa" w:w="4535"/>
          </w:tcPr>
          <w:p>
            <w:r>
              <w:rPr>
                <w:rFonts w:ascii="Calibri" w:hAnsi="Calibri"/>
                <w:color w:val="1A1A1A"/>
                <w:sz w:val="20"/>
              </w:rPr>
              <w:t xml:space="preserve">For and on behalf of </w:t>
            </w:r>
            <w:r>
              <w:rPr>
                <w:rFonts w:ascii="Calibri" w:hAnsi="Calibri"/>
                <w:b/>
                <w:color w:val="1A1A1A"/>
                <w:sz w:val="20"/>
              </w:rPr>
              <w:t>Finova</w:t>
            </w:r>
            <w:r>
              <w:rPr>
                <w:rFonts w:ascii="Calibri" w:hAnsi="Calibri"/>
                <w:color w:val="1A1A1A"/>
                <w:sz w:val="20"/>
              </w:rPr>
              <w:t>,</w:t>
            </w:r>
          </w:p>
        </w:tc>
      </w:tr>
      <w:tr>
        <w:tc>
          <w:tcPr>
            <w:tcW w:type="dxa" w:w="4535"/>
          </w:tcPr>
          <w:p>
            <w:pPr>
              <w:spacing w:before="400"/>
              <w:jc w:val="left"/>
            </w:pPr>
            <w:r/>
            <w:r>
              <w:rPr>
                <w:rFonts w:ascii="Calibri" w:hAnsi="Calibri"/>
                <w:b w:val="0"/>
                <w:i w:val="0"/>
                <w:color w:val="1A1A1A"/>
                <w:sz w:val="20"/>
              </w:rPr>
            </w:r>
          </w:p>
        </w:tc>
        <w:tc>
          <w:tcPr>
            <w:tcW w:type="dxa" w:w="4535"/>
          </w:tcPr>
          <w:p>
            <w:pPr>
              <w:spacing w:before="400"/>
              <w:jc w:val="left"/>
            </w:pPr>
            <w:r/>
            <w:r>
              <w:rPr>
                <w:rFonts w:ascii="Calibri" w:hAnsi="Calibri"/>
                <w:b w:val="0"/>
                <w:i w:val="0"/>
                <w:color w:val="1A1A1A"/>
                <w:sz w:val="20"/>
              </w:rPr>
            </w:r>
          </w:p>
        </w:tc>
      </w:tr>
      <w:tr>
        <w:tc>
          <w:tcPr>
            <w:tcW w:type="dxa" w:w="4535"/>
          </w:tcPr>
          <w:p>
            <w:pPr>
              <w:jc w:val="left"/>
            </w:pPr>
            <w:r/>
            <w:r>
              <w:rPr>
                <w:rFonts w:ascii="Calibri" w:hAnsi="Calibri"/>
                <w:b w:val="0"/>
                <w:i w:val="0"/>
                <w:color w:val="1A1A1A"/>
                <w:sz w:val="20"/>
              </w:rPr>
              <w:t>……………………………………………………………………………………………………</w:t>
            </w:r>
          </w:p>
        </w:tc>
        <w:tc>
          <w:tcPr>
            <w:tcW w:type="dxa" w:w="4535"/>
          </w:tcPr>
          <w:p>
            <w:pPr>
              <w:jc w:val="left"/>
            </w:pPr>
            <w:r/>
            <w:r>
              <w:rPr>
                <w:rFonts w:ascii="Calibri" w:hAnsi="Calibri"/>
                <w:b w:val="0"/>
                <w:i w:val="0"/>
                <w:color w:val="1A1A1A"/>
                <w:sz w:val="20"/>
              </w:rPr>
              <w:t>……………………………………………………………………………………………………</w:t>
            </w:r>
          </w:p>
        </w:tc>
      </w:tr>
      <w:tr>
        <w:tc>
          <w:tcPr>
            <w:tcW w:type="dxa" w:w="4535"/>
          </w:tcPr>
          <w:p>
            <w:pPr>
              <w:jc w:val="left"/>
            </w:pPr>
            <w:r/>
            <w:r>
              <w:rPr>
                <w:rFonts w:ascii="Calibri" w:hAnsi="Calibri"/>
                <w:b w:val="0"/>
                <w:i/>
                <w:color w:val="1A1A1A"/>
                <w:sz w:val="20"/>
              </w:rPr>
              <w:t>the signatory warranting that he / she is duly authorised:</w:t>
            </w:r>
          </w:p>
        </w:tc>
        <w:tc>
          <w:tcPr>
            <w:tcW w:type="dxa" w:w="4535"/>
          </w:tcPr>
          <w:p>
            <w:pPr>
              <w:jc w:val="left"/>
            </w:pPr>
            <w:r/>
            <w:r>
              <w:rPr>
                <w:rFonts w:ascii="Calibri" w:hAnsi="Calibri"/>
                <w:b w:val="0"/>
                <w:i/>
                <w:color w:val="1A1A1A"/>
                <w:sz w:val="20"/>
              </w:rPr>
              <w:t>the signatory warranting that he / she is duly authorised:</w:t>
            </w:r>
          </w:p>
        </w:tc>
      </w:tr>
      <w:tr>
        <w:tc>
          <w:tcPr>
            <w:tcW w:type="dxa" w:w="4535"/>
          </w:tcPr>
          <w:p>
            <w:pPr>
              <w:jc w:val="left"/>
            </w:pPr>
            <w:r/>
            <w:r>
              <w:rPr>
                <w:rFonts w:ascii="Calibri" w:hAnsi="Calibri"/>
                <w:b w:val="0"/>
                <w:i w:val="0"/>
                <w:color w:val="1A1A1A"/>
                <w:sz w:val="20"/>
              </w:rPr>
              <w:t>Signed at ………………  On date: ………………………</w:t>
            </w:r>
          </w:p>
        </w:tc>
        <w:tc>
          <w:tcPr>
            <w:tcW w:type="dxa" w:w="4535"/>
          </w:tcPr>
          <w:p>
            <w:pPr>
              <w:jc w:val="left"/>
            </w:pPr>
            <w:r/>
            <w:r>
              <w:rPr>
                <w:rFonts w:ascii="Calibri" w:hAnsi="Calibri"/>
                <w:b w:val="0"/>
                <w:i w:val="0"/>
                <w:color w:val="1A1A1A"/>
                <w:sz w:val="20"/>
              </w:rPr>
              <w:t>Signed at …………………  On date:………………………</w:t>
            </w:r>
          </w:p>
        </w:tc>
      </w:tr>
    </w:tbl>
    <w:p>
      <w:pPr>
        <w:spacing w:before="160"/>
        <w:jc w:val="right"/>
      </w:pPr>
      <w:r>
        <w:rPr>
          <w:rFonts w:ascii="Calibri" w:hAnsi="Calibri"/>
          <w:i/>
          <w:color w:val="555555"/>
          <w:sz w:val="16"/>
        </w:rPr>
        <w:t>Finova Mandate – BitWealth Bitcoin LTH PVR Strategy Addendum</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