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Calibri" w:hAnsi="Calibri"/>
          <w:b/>
          <w:color w:val="C9A227"/>
          <w:sz w:val="36"/>
        </w:rPr>
        <w:t>BITWEALTH (PTY) LTD</w:t>
      </w:r>
    </w:p>
    <w:p>
      <w:pPr>
        <w:spacing w:after="40"/>
        <w:jc w:val="center"/>
      </w:pPr>
      <w:r>
        <w:rPr>
          <w:color w:val="1A1A1A"/>
          <w:sz w:val="22"/>
        </w:rPr>
        <w:t>Part A — Cap Table Model &amp; Earn-In Schedule (v3)</w:t>
      </w:r>
    </w:p>
    <w:p>
      <w:pPr>
        <w:spacing w:after="200"/>
        <w:jc w:val="center"/>
      </w:pPr>
      <w:r>
        <w:rPr>
          <w:i/>
          <w:color w:val="555555"/>
          <w:sz w:val="18"/>
        </w:rPr>
        <w:t>Date: 11 July 2026  ·  PRIVATE &amp; CONFIDENTIAL  ·  NON-BINDING  ·  SUBJECT TO CONTRACT</w:t>
      </w:r>
    </w:p>
    <w:p>
      <w:pPr>
        <w:spacing w:before="80" w:after="80"/>
        <w:pBdr>
          <w:bottom w:val="single" w:sz="4" w:space="1" w:color="C9A227"/>
        </w:pBdr>
      </w:pPr>
    </w:p>
    <w:p>
      <w:pPr>
        <w:keepNext/>
        <w:spacing w:before="280" w:after="80"/>
      </w:pPr>
      <w:r>
        <w:rPr>
          <w:rFonts w:ascii="Calibri" w:hAnsi="Calibri"/>
          <w:b/>
          <w:color w:val="C9A227"/>
          <w:sz w:val="28"/>
        </w:rPr>
        <w:t>1.  BACKGROUND &amp; IP FOUNDATION</w:t>
      </w:r>
    </w:p>
    <w:p>
      <w:pPr>
        <w:spacing w:before="40" w:after="80"/>
      </w:pPr>
      <w:r>
        <w:rPr>
          <w:b w:val="0"/>
          <w:i w:val="0"/>
          <w:color w:val="1A1A1A"/>
          <w:sz w:val="20"/>
        </w:rPr>
        <w:t>BitWealth (Pty) Ltd ('the Company', Registration No. 2026 / 090346 / 07) operates a Bitcoin Dollar-Cost Averaging (DCA) investment management platform regulated under the Financial Advisory and Intermediary Services Act, 37 of 2002 (FAIS Act). The Company will be appointed as a Juristic Representative (JR) under the FSP licence of Finova Capital (Pty) Ltd (FSP No. 21095).</w:t>
      </w:r>
    </w:p>
    <w:p>
      <w:pPr>
        <w:spacing w:before="40" w:after="80"/>
      </w:pPr>
      <w:r>
        <w:rPr>
          <w:b w:val="0"/>
          <w:i w:val="0"/>
          <w:color w:val="1A1A1A"/>
          <w:sz w:val="20"/>
        </w:rPr>
        <w:t>The proprietary technology platform (BitWealth LTH PVR System) has been transferred to the Company under a signed IP Transfer Agreement at an agreed value of R2,500,000, contributed by Davin Harald Gaier. The asset is recorded on the Company's balance sheet.</w:t>
      </w:r>
    </w:p>
    <w:p>
      <w:pPr>
        <w:spacing w:before="40" w:after="80"/>
      </w:pPr>
      <w:r>
        <w:rPr>
          <w:b w:val="0"/>
          <w:i/>
          <w:color w:val="555555"/>
          <w:sz w:val="18"/>
        </w:rPr>
        <w:t>The Company has 1,000 ordinary shares of R1.00 par value in issue, all carrying equal voting, dividend, and liquidation rights. Davin Harald Gaier currently holds all 1,000 shares.</w:t>
      </w:r>
    </w:p>
    <w:p>
      <w:pPr>
        <w:spacing w:before="80" w:after="80"/>
        <w:pBdr>
          <w:bottom w:val="single" w:sz="4" w:space="1" w:color="C9A227"/>
        </w:pBdr>
      </w:pPr>
    </w:p>
    <w:p>
      <w:pPr>
        <w:keepNext/>
        <w:spacing w:before="160" w:after="80"/>
      </w:pPr>
      <w:r>
        <w:rPr>
          <w:rFonts w:ascii="Calibri" w:hAnsi="Calibri"/>
          <w:b/>
          <w:color w:val="1A1A1A"/>
          <w:sz w:val="22"/>
        </w:rPr>
        <w:t>Stage 0 — Current Shareholding (Pre-Signing)</w:t>
      </w:r>
    </w:p>
    <w:tbl>
      <w:tblPr>
        <w:tblStyle w:val="TableGrid"/>
        <w:tblW w:type="auto" w:w="0"/>
        <w:jc w:val="center"/>
        <w:tblLook w:firstColumn="1" w:firstRow="1" w:lastColumn="0" w:lastRow="0" w:noHBand="0" w:noVBand="1" w:val="04A0"/>
      </w:tblPr>
      <w:tblGrid>
        <w:gridCol w:w="1926"/>
        <w:gridCol w:w="1926"/>
        <w:gridCol w:w="1926"/>
        <w:gridCol w:w="1926"/>
        <w:gridCol w:w="1926"/>
      </w:tblGrid>
      <w:tr>
        <w:tc>
          <w:tcPr>
            <w:tcW w:type="dxa" w:w="2948"/>
            <w:shd w:val="clear" w:color="auto" w:fill="1A1A1A"/>
          </w:tcPr>
          <w:p>
            <w:pPr>
              <w:jc w:val="center"/>
            </w:pPr>
            <w:r/>
            <w:r>
              <w:rPr>
                <w:b/>
                <w:i w:val="0"/>
                <w:color w:val="FFFFFF"/>
                <w:sz w:val="18"/>
              </w:rPr>
              <w:t>Shareholder</w:t>
            </w:r>
          </w:p>
        </w:tc>
        <w:tc>
          <w:tcPr>
            <w:tcW w:type="dxa" w:w="1361"/>
            <w:shd w:val="clear" w:color="auto" w:fill="1A1A1A"/>
          </w:tcPr>
          <w:p>
            <w:pPr>
              <w:jc w:val="center"/>
            </w:pPr>
            <w:r/>
            <w:r>
              <w:rPr>
                <w:b/>
                <w:i w:val="0"/>
                <w:color w:val="FFFFFF"/>
                <w:sz w:val="18"/>
              </w:rPr>
              <w:t>Shares</w:t>
            </w:r>
          </w:p>
        </w:tc>
        <w:tc>
          <w:tcPr>
            <w:tcW w:type="dxa" w:w="1247"/>
            <w:shd w:val="clear" w:color="auto" w:fill="1A1A1A"/>
          </w:tcPr>
          <w:p>
            <w:pPr>
              <w:jc w:val="center"/>
            </w:pPr>
            <w:r/>
            <w:r>
              <w:rPr>
                <w:b/>
                <w:i w:val="0"/>
                <w:color w:val="FFFFFF"/>
                <w:sz w:val="18"/>
              </w:rPr>
              <w:t>% Holding</w:t>
            </w:r>
          </w:p>
        </w:tc>
        <w:tc>
          <w:tcPr>
            <w:tcW w:type="dxa" w:w="1474"/>
            <w:shd w:val="clear" w:color="auto" w:fill="1A1A1A"/>
          </w:tcPr>
          <w:p>
            <w:pPr>
              <w:jc w:val="center"/>
            </w:pPr>
            <w:r/>
            <w:r>
              <w:rPr>
                <w:b/>
                <w:i w:val="0"/>
                <w:color w:val="FFFFFF"/>
                <w:sz w:val="18"/>
              </w:rPr>
              <w:t>Change</w:t>
            </w:r>
          </w:p>
        </w:tc>
        <w:tc>
          <w:tcPr>
            <w:tcW w:type="dxa" w:w="2608"/>
            <w:shd w:val="clear" w:color="auto" w:fill="1A1A1A"/>
          </w:tcPr>
          <w:p>
            <w:pPr>
              <w:jc w:val="center"/>
            </w:pPr>
            <w:r/>
            <w:r>
              <w:rPr>
                <w:b/>
                <w:i w:val="0"/>
                <w:color w:val="FFFFFF"/>
                <w:sz w:val="18"/>
              </w:rPr>
              <w:t>Notes</w:t>
            </w:r>
          </w:p>
        </w:tc>
      </w:tr>
      <w:tr>
        <w:tc>
          <w:tcPr>
            <w:tcW w:type="dxa" w:w="2948"/>
            <w:shd w:val="clear" w:color="auto" w:fill="FFFFFF"/>
          </w:tcPr>
          <w:p>
            <w:r/>
            <w:r>
              <w:rPr>
                <w:b w:val="0"/>
                <w:i w:val="0"/>
                <w:color w:val="1A1A1A"/>
                <w:sz w:val="20"/>
              </w:rPr>
              <w:t>Davin Harald Gaier</w:t>
            </w:r>
          </w:p>
        </w:tc>
        <w:tc>
          <w:tcPr>
            <w:tcW w:type="dxa" w:w="1361"/>
            <w:shd w:val="clear" w:color="auto" w:fill="FFFFFF"/>
          </w:tcPr>
          <w:p>
            <w:pPr>
              <w:jc w:val="center"/>
            </w:pPr>
            <w:r/>
            <w:r>
              <w:rPr>
                <w:b w:val="0"/>
                <w:i w:val="0"/>
                <w:color w:val="1A1A1A"/>
                <w:sz w:val="20"/>
              </w:rPr>
              <w:t>1,000</w:t>
            </w:r>
          </w:p>
        </w:tc>
        <w:tc>
          <w:tcPr>
            <w:tcW w:type="dxa" w:w="1247"/>
            <w:shd w:val="clear" w:color="auto" w:fill="FFFFFF"/>
          </w:tcPr>
          <w:p>
            <w:pPr>
              <w:jc w:val="center"/>
            </w:pPr>
            <w:r/>
            <w:r>
              <w:rPr>
                <w:b w:val="0"/>
                <w:i w:val="0"/>
                <w:color w:val="1A1A1A"/>
                <w:sz w:val="20"/>
              </w:rPr>
              <w:t>100%</w:t>
            </w:r>
          </w:p>
        </w:tc>
        <w:tc>
          <w:tcPr>
            <w:tcW w:type="dxa" w:w="1474"/>
            <w:shd w:val="clear" w:color="auto" w:fill="FFFFFF"/>
          </w:tcPr>
          <w:p>
            <w:pPr>
              <w:jc w:val="center"/>
            </w:pPr>
            <w:r/>
            <w:r>
              <w:rPr>
                <w:b w:val="0"/>
                <w:i w:val="0"/>
                <w:color w:val="1A1A1A"/>
                <w:sz w:val="20"/>
              </w:rPr>
              <w:t>—</w:t>
            </w:r>
          </w:p>
        </w:tc>
        <w:tc>
          <w:tcPr>
            <w:tcW w:type="dxa" w:w="2608"/>
            <w:shd w:val="clear" w:color="auto" w:fill="FFFFFF"/>
          </w:tcPr>
          <w:p>
            <w:r/>
            <w:r>
              <w:rPr>
                <w:b w:val="0"/>
                <w:i w:val="0"/>
                <w:color w:val="1A1A1A"/>
                <w:sz w:val="20"/>
              </w:rPr>
              <w:t>IP contributor; technology platform</w:t>
            </w:r>
          </w:p>
        </w:tc>
      </w:tr>
      <w:tr>
        <w:tc>
          <w:tcPr>
            <w:tcW w:type="dxa" w:w="2948"/>
            <w:shd w:val="clear" w:color="auto" w:fill="F5F5F5"/>
          </w:tcPr>
          <w:p>
            <w:r/>
            <w:r>
              <w:rPr>
                <w:b w:val="0"/>
                <w:i w:val="0"/>
                <w:color w:val="1A1A1A"/>
                <w:sz w:val="20"/>
              </w:rPr>
              <w:t>Simon Henry Newbold Hobday</w:t>
            </w:r>
          </w:p>
        </w:tc>
        <w:tc>
          <w:tcPr>
            <w:tcW w:type="dxa" w:w="1361"/>
            <w:shd w:val="clear" w:color="auto" w:fill="F5F5F5"/>
          </w:tcPr>
          <w:p>
            <w:pPr>
              <w:jc w:val="center"/>
            </w:pPr>
            <w:r/>
            <w:r>
              <w:rPr>
                <w:b w:val="0"/>
                <w:i w:val="0"/>
                <w:color w:val="1A1A1A"/>
                <w:sz w:val="20"/>
              </w:rPr>
              <w:t>Nil</w:t>
            </w:r>
          </w:p>
        </w:tc>
        <w:tc>
          <w:tcPr>
            <w:tcW w:type="dxa" w:w="1247"/>
            <w:shd w:val="clear" w:color="auto" w:fill="F5F5F5"/>
          </w:tcPr>
          <w:p>
            <w:pPr>
              <w:jc w:val="center"/>
            </w:pPr>
            <w:r/>
            <w:r>
              <w:rPr>
                <w:b w:val="0"/>
                <w:i w:val="0"/>
                <w:color w:val="1A1A1A"/>
                <w:sz w:val="20"/>
              </w:rPr>
              <w:t>—</w:t>
            </w:r>
          </w:p>
        </w:tc>
        <w:tc>
          <w:tcPr>
            <w:tcW w:type="dxa" w:w="1474"/>
            <w:shd w:val="clear" w:color="auto" w:fill="F5F5F5"/>
          </w:tcPr>
          <w:p>
            <w:pPr>
              <w:jc w:val="center"/>
            </w:pPr>
            <w:r/>
            <w:r>
              <w:rPr>
                <w:b w:val="0"/>
                <w:i w:val="0"/>
                <w:color w:val="1A1A1A"/>
                <w:sz w:val="20"/>
              </w:rPr>
              <w:t>—</w:t>
            </w:r>
          </w:p>
        </w:tc>
        <w:tc>
          <w:tcPr>
            <w:tcW w:type="dxa" w:w="2608"/>
            <w:shd w:val="clear" w:color="auto" w:fill="F5F5F5"/>
          </w:tcPr>
          <w:p>
            <w:r/>
            <w:r>
              <w:rPr>
                <w:b w:val="0"/>
                <w:i w:val="0"/>
                <w:color w:val="1A1A1A"/>
                <w:sz w:val="20"/>
              </w:rPr>
              <w:t>Not yet a shareholder</w:t>
            </w:r>
          </w:p>
        </w:tc>
      </w:tr>
      <w:tr>
        <w:tc>
          <w:tcPr>
            <w:tcW w:type="dxa" w:w="2948"/>
            <w:shd w:val="clear" w:color="auto" w:fill="F5EBC8"/>
          </w:tcPr>
          <w:p>
            <w:r/>
            <w:r>
              <w:rPr>
                <w:b/>
                <w:i w:val="0"/>
                <w:color w:val="1A1A1A"/>
                <w:sz w:val="20"/>
              </w:rPr>
              <w:t>TOTAL</w:t>
            </w:r>
          </w:p>
        </w:tc>
        <w:tc>
          <w:tcPr>
            <w:tcW w:type="dxa" w:w="1361"/>
            <w:shd w:val="clear" w:color="auto" w:fill="F5EBC8"/>
          </w:tcPr>
          <w:p>
            <w:pPr>
              <w:jc w:val="center"/>
            </w:pPr>
            <w:r/>
            <w:r>
              <w:rPr>
                <w:b/>
                <w:i w:val="0"/>
                <w:color w:val="1A1A1A"/>
                <w:sz w:val="20"/>
              </w:rPr>
              <w:t>1,000</w:t>
            </w:r>
          </w:p>
        </w:tc>
        <w:tc>
          <w:tcPr>
            <w:tcW w:type="dxa" w:w="1247"/>
            <w:shd w:val="clear" w:color="auto" w:fill="F5EBC8"/>
          </w:tcPr>
          <w:p>
            <w:pPr>
              <w:jc w:val="center"/>
            </w:pPr>
            <w:r/>
            <w:r>
              <w:rPr>
                <w:b/>
                <w:i w:val="0"/>
                <w:color w:val="1A1A1A"/>
                <w:sz w:val="20"/>
              </w:rPr>
              <w:t>100%</w:t>
            </w:r>
          </w:p>
        </w:tc>
        <w:tc>
          <w:tcPr>
            <w:tcW w:type="dxa" w:w="1474"/>
            <w:shd w:val="clear" w:color="auto" w:fill="F5EBC8"/>
          </w:tcPr>
          <w:p>
            <w:pPr>
              <w:jc w:val="center"/>
            </w:pPr>
            <w:r/>
            <w:r>
              <w:rPr>
                <w:b/>
                <w:i w:val="0"/>
                <w:color w:val="1A1A1A"/>
                <w:sz w:val="20"/>
              </w:rPr>
              <w:t>—</w:t>
            </w:r>
          </w:p>
        </w:tc>
        <w:tc>
          <w:tcPr>
            <w:tcW w:type="dxa" w:w="2608"/>
            <w:shd w:val="clear" w:color="auto" w:fill="F5EBC8"/>
          </w:tcPr>
          <w:p>
            <w:r/>
            <w:r>
              <w:rPr>
                <w:b/>
                <w:i w:val="0"/>
                <w:color w:val="1A1A1A"/>
                <w:sz w:val="20"/>
              </w:rPr>
            </w:r>
          </w:p>
        </w:tc>
      </w:tr>
    </w:tbl>
    <w:p>
      <w:pPr>
        <w:spacing w:after="160"/>
      </w:pPr>
      <w:r>
        <w:rPr>
          <w:i/>
          <w:color w:val="555555"/>
          <w:sz w:val="18"/>
        </w:rPr>
        <w:t>★  IP value R2,500,000 contributed by Davin Harald Gaier.</w:t>
      </w:r>
    </w:p>
    <w:p>
      <w:pPr>
        <w:keepNext/>
        <w:spacing w:before="160" w:after="80"/>
      </w:pPr>
      <w:r>
        <w:rPr>
          <w:rFonts w:ascii="Calibri" w:hAnsi="Calibri"/>
          <w:b/>
          <w:color w:val="1A1A1A"/>
          <w:sz w:val="22"/>
        </w:rPr>
        <w:t>Stage 1 — On Signing (Founding 10%)</w:t>
      </w:r>
    </w:p>
    <w:tbl>
      <w:tblPr>
        <w:tblStyle w:val="TableGrid"/>
        <w:tblW w:type="auto" w:w="0"/>
        <w:jc w:val="center"/>
        <w:tblLook w:firstColumn="1" w:firstRow="1" w:lastColumn="0" w:lastRow="0" w:noHBand="0" w:noVBand="1" w:val="04A0"/>
      </w:tblPr>
      <w:tblGrid>
        <w:gridCol w:w="1926"/>
        <w:gridCol w:w="1926"/>
        <w:gridCol w:w="1926"/>
        <w:gridCol w:w="1926"/>
        <w:gridCol w:w="1926"/>
      </w:tblGrid>
      <w:tr>
        <w:tc>
          <w:tcPr>
            <w:tcW w:type="dxa" w:w="2948"/>
            <w:shd w:val="clear" w:color="auto" w:fill="006064"/>
          </w:tcPr>
          <w:p>
            <w:pPr>
              <w:jc w:val="center"/>
            </w:pPr>
            <w:r/>
            <w:r>
              <w:rPr>
                <w:b/>
                <w:i w:val="0"/>
                <w:color w:val="FFFFFF"/>
                <w:sz w:val="18"/>
              </w:rPr>
              <w:t>Shareholder</w:t>
            </w:r>
          </w:p>
        </w:tc>
        <w:tc>
          <w:tcPr>
            <w:tcW w:type="dxa" w:w="1361"/>
            <w:shd w:val="clear" w:color="auto" w:fill="006064"/>
          </w:tcPr>
          <w:p>
            <w:pPr>
              <w:jc w:val="center"/>
            </w:pPr>
            <w:r/>
            <w:r>
              <w:rPr>
                <w:b/>
                <w:i w:val="0"/>
                <w:color w:val="FFFFFF"/>
                <w:sz w:val="18"/>
              </w:rPr>
              <w:t>Shares</w:t>
            </w:r>
          </w:p>
        </w:tc>
        <w:tc>
          <w:tcPr>
            <w:tcW w:type="dxa" w:w="1247"/>
            <w:shd w:val="clear" w:color="auto" w:fill="006064"/>
          </w:tcPr>
          <w:p>
            <w:pPr>
              <w:jc w:val="center"/>
            </w:pPr>
            <w:r/>
            <w:r>
              <w:rPr>
                <w:b/>
                <w:i w:val="0"/>
                <w:color w:val="FFFFFF"/>
                <w:sz w:val="18"/>
              </w:rPr>
              <w:t>% Holding</w:t>
            </w:r>
          </w:p>
        </w:tc>
        <w:tc>
          <w:tcPr>
            <w:tcW w:type="dxa" w:w="1474"/>
            <w:shd w:val="clear" w:color="auto" w:fill="006064"/>
          </w:tcPr>
          <w:p>
            <w:pPr>
              <w:jc w:val="center"/>
            </w:pPr>
            <w:r/>
            <w:r>
              <w:rPr>
                <w:b/>
                <w:i w:val="0"/>
                <w:color w:val="FFFFFF"/>
                <w:sz w:val="18"/>
              </w:rPr>
              <w:t>Change</w:t>
            </w:r>
          </w:p>
        </w:tc>
        <w:tc>
          <w:tcPr>
            <w:tcW w:type="dxa" w:w="2608"/>
            <w:shd w:val="clear" w:color="auto" w:fill="006064"/>
          </w:tcPr>
          <w:p>
            <w:pPr>
              <w:jc w:val="center"/>
            </w:pPr>
            <w:r/>
            <w:r>
              <w:rPr>
                <w:b/>
                <w:i w:val="0"/>
                <w:color w:val="FFFFFF"/>
                <w:sz w:val="18"/>
              </w:rPr>
              <w:t>Notes</w:t>
            </w:r>
          </w:p>
        </w:tc>
      </w:tr>
      <w:tr>
        <w:tc>
          <w:tcPr>
            <w:tcW w:type="dxa" w:w="2948"/>
            <w:shd w:val="clear" w:color="auto" w:fill="FFFFFF"/>
          </w:tcPr>
          <w:p>
            <w:r/>
            <w:r>
              <w:rPr>
                <w:b w:val="0"/>
                <w:i w:val="0"/>
                <w:color w:val="1A1A1A"/>
                <w:sz w:val="20"/>
              </w:rPr>
              <w:t>Davin Harald Gaier</w:t>
            </w:r>
          </w:p>
        </w:tc>
        <w:tc>
          <w:tcPr>
            <w:tcW w:type="dxa" w:w="1361"/>
            <w:shd w:val="clear" w:color="auto" w:fill="FFFFFF"/>
          </w:tcPr>
          <w:p>
            <w:pPr>
              <w:jc w:val="center"/>
            </w:pPr>
            <w:r/>
            <w:r>
              <w:rPr>
                <w:b w:val="0"/>
                <w:i w:val="0"/>
                <w:color w:val="1A1A1A"/>
                <w:sz w:val="20"/>
              </w:rPr>
              <w:t>900</w:t>
            </w:r>
          </w:p>
        </w:tc>
        <w:tc>
          <w:tcPr>
            <w:tcW w:type="dxa" w:w="1247"/>
            <w:shd w:val="clear" w:color="auto" w:fill="FFFFFF"/>
          </w:tcPr>
          <w:p>
            <w:pPr>
              <w:jc w:val="center"/>
            </w:pPr>
            <w:r/>
            <w:r>
              <w:rPr>
                <w:b w:val="0"/>
                <w:i w:val="0"/>
                <w:color w:val="1A1A1A"/>
                <w:sz w:val="20"/>
              </w:rPr>
              <w:t>90%</w:t>
            </w:r>
          </w:p>
        </w:tc>
        <w:tc>
          <w:tcPr>
            <w:tcW w:type="dxa" w:w="1474"/>
            <w:shd w:val="clear" w:color="auto" w:fill="FFFFFF"/>
          </w:tcPr>
          <w:p>
            <w:pPr>
              <w:jc w:val="center"/>
            </w:pPr>
            <w:r/>
            <w:r>
              <w:rPr>
                <w:b w:val="0"/>
                <w:i w:val="0"/>
                <w:color w:val="1A1A1A"/>
                <w:sz w:val="20"/>
              </w:rPr>
              <w:t>−100</w:t>
            </w:r>
          </w:p>
        </w:tc>
        <w:tc>
          <w:tcPr>
            <w:tcW w:type="dxa" w:w="2608"/>
            <w:shd w:val="clear" w:color="auto" w:fill="FFFFFF"/>
          </w:tcPr>
          <w:p>
            <w:r/>
            <w:r>
              <w:rPr>
                <w:b w:val="0"/>
                <w:i w:val="0"/>
                <w:color w:val="1A1A1A"/>
                <w:sz w:val="20"/>
              </w:rPr>
              <w:t>Technology, strategy, IP</w:t>
            </w:r>
          </w:p>
        </w:tc>
      </w:tr>
      <w:tr>
        <w:tc>
          <w:tcPr>
            <w:tcW w:type="dxa" w:w="2948"/>
            <w:shd w:val="clear" w:color="auto" w:fill="F5F5F5"/>
          </w:tcPr>
          <w:p>
            <w:r/>
            <w:r>
              <w:rPr>
                <w:b w:val="0"/>
                <w:i w:val="0"/>
                <w:color w:val="1A1A1A"/>
                <w:sz w:val="20"/>
              </w:rPr>
              <w:t>Simon Henry Newbold Hobday</w:t>
            </w:r>
          </w:p>
        </w:tc>
        <w:tc>
          <w:tcPr>
            <w:tcW w:type="dxa" w:w="1361"/>
            <w:shd w:val="clear" w:color="auto" w:fill="F5F5F5"/>
          </w:tcPr>
          <w:p>
            <w:pPr>
              <w:jc w:val="center"/>
            </w:pPr>
            <w:r/>
            <w:r>
              <w:rPr>
                <w:b w:val="0"/>
                <w:i w:val="0"/>
                <w:color w:val="1A1A1A"/>
                <w:sz w:val="20"/>
              </w:rPr>
              <w:t>100</w:t>
            </w:r>
          </w:p>
        </w:tc>
        <w:tc>
          <w:tcPr>
            <w:tcW w:type="dxa" w:w="1247"/>
            <w:shd w:val="clear" w:color="auto" w:fill="F5F5F5"/>
          </w:tcPr>
          <w:p>
            <w:pPr>
              <w:jc w:val="center"/>
            </w:pPr>
            <w:r/>
            <w:r>
              <w:rPr>
                <w:b w:val="0"/>
                <w:i w:val="0"/>
                <w:color w:val="1A1A1A"/>
                <w:sz w:val="20"/>
              </w:rPr>
              <w:t>10%</w:t>
            </w:r>
          </w:p>
        </w:tc>
        <w:tc>
          <w:tcPr>
            <w:tcW w:type="dxa" w:w="1474"/>
            <w:shd w:val="clear" w:color="auto" w:fill="F5F5F5"/>
          </w:tcPr>
          <w:p>
            <w:pPr>
              <w:jc w:val="center"/>
            </w:pPr>
            <w:r/>
            <w:r>
              <w:rPr>
                <w:b w:val="0"/>
                <w:i w:val="0"/>
                <w:color w:val="1A1A1A"/>
                <w:sz w:val="20"/>
              </w:rPr>
              <w:t>+100</w:t>
            </w:r>
          </w:p>
        </w:tc>
        <w:tc>
          <w:tcPr>
            <w:tcW w:type="dxa" w:w="2608"/>
            <w:shd w:val="clear" w:color="auto" w:fill="F5F5F5"/>
          </w:tcPr>
          <w:p>
            <w:r/>
            <w:r>
              <w:rPr>
                <w:b w:val="0"/>
                <w:i w:val="0"/>
                <w:color w:val="1A1A1A"/>
                <w:sz w:val="20"/>
              </w:rPr>
              <w:t>Founding grant (nil consideration)</w:t>
            </w:r>
          </w:p>
        </w:tc>
      </w:tr>
      <w:tr>
        <w:tc>
          <w:tcPr>
            <w:tcW w:type="dxa" w:w="2948"/>
            <w:shd w:val="clear" w:color="auto" w:fill="F5EBC8"/>
          </w:tcPr>
          <w:p>
            <w:r/>
            <w:r>
              <w:rPr>
                <w:b/>
                <w:i w:val="0"/>
                <w:color w:val="1A1A1A"/>
                <w:sz w:val="20"/>
              </w:rPr>
              <w:t>TOTAL</w:t>
            </w:r>
          </w:p>
        </w:tc>
        <w:tc>
          <w:tcPr>
            <w:tcW w:type="dxa" w:w="1361"/>
            <w:shd w:val="clear" w:color="auto" w:fill="F5EBC8"/>
          </w:tcPr>
          <w:p>
            <w:pPr>
              <w:jc w:val="center"/>
            </w:pPr>
            <w:r/>
            <w:r>
              <w:rPr>
                <w:b/>
                <w:i w:val="0"/>
                <w:color w:val="1A1A1A"/>
                <w:sz w:val="20"/>
              </w:rPr>
              <w:t>1,000</w:t>
            </w:r>
          </w:p>
        </w:tc>
        <w:tc>
          <w:tcPr>
            <w:tcW w:type="dxa" w:w="1247"/>
            <w:shd w:val="clear" w:color="auto" w:fill="F5EBC8"/>
          </w:tcPr>
          <w:p>
            <w:pPr>
              <w:jc w:val="center"/>
            </w:pPr>
            <w:r/>
            <w:r>
              <w:rPr>
                <w:b/>
                <w:i w:val="0"/>
                <w:color w:val="1A1A1A"/>
                <w:sz w:val="20"/>
              </w:rPr>
              <w:t>100%</w:t>
            </w:r>
          </w:p>
        </w:tc>
        <w:tc>
          <w:tcPr>
            <w:tcW w:type="dxa" w:w="1474"/>
            <w:shd w:val="clear" w:color="auto" w:fill="F5EBC8"/>
          </w:tcPr>
          <w:p>
            <w:pPr>
              <w:jc w:val="center"/>
            </w:pPr>
            <w:r/>
            <w:r>
              <w:rPr>
                <w:b/>
                <w:i w:val="0"/>
                <w:color w:val="1A1A1A"/>
                <w:sz w:val="20"/>
              </w:rPr>
              <w:t>—</w:t>
            </w:r>
          </w:p>
        </w:tc>
        <w:tc>
          <w:tcPr>
            <w:tcW w:type="dxa" w:w="2608"/>
            <w:shd w:val="clear" w:color="auto" w:fill="F5EBC8"/>
          </w:tcPr>
          <w:p>
            <w:r/>
            <w:r>
              <w:rPr>
                <w:b/>
                <w:i w:val="0"/>
                <w:color w:val="1A1A1A"/>
                <w:sz w:val="20"/>
              </w:rPr>
            </w:r>
          </w:p>
        </w:tc>
      </w:tr>
    </w:tbl>
    <w:p>
      <w:pPr>
        <w:spacing w:after="160"/>
      </w:pPr>
      <w:r>
        <w:rPr>
          <w:i/>
          <w:color w:val="555555"/>
          <w:sz w:val="18"/>
        </w:rPr>
        <w:t>★  Founding 10% carries no performance condition.</w:t>
      </w:r>
    </w:p>
    <w:p>
      <w:pPr>
        <w:keepNext/>
        <w:spacing w:before="160" w:after="80"/>
      </w:pPr>
      <w:r>
        <w:rPr>
          <w:rFonts w:ascii="Calibri" w:hAnsi="Calibri"/>
          <w:b/>
          <w:color w:val="1A1A1A"/>
          <w:sz w:val="22"/>
        </w:rPr>
        <w:t>Stage 2 — Post Milestone 1 (R50m AUM)</w:t>
      </w:r>
    </w:p>
    <w:tbl>
      <w:tblPr>
        <w:tblStyle w:val="TableGrid"/>
        <w:tblW w:type="auto" w:w="0"/>
        <w:jc w:val="center"/>
        <w:tblLook w:firstColumn="1" w:firstRow="1" w:lastColumn="0" w:lastRow="0" w:noHBand="0" w:noVBand="1" w:val="04A0"/>
      </w:tblPr>
      <w:tblGrid>
        <w:gridCol w:w="1926"/>
        <w:gridCol w:w="1926"/>
        <w:gridCol w:w="1926"/>
        <w:gridCol w:w="1926"/>
        <w:gridCol w:w="1926"/>
      </w:tblGrid>
      <w:tr>
        <w:tc>
          <w:tcPr>
            <w:tcW w:type="dxa" w:w="2948"/>
            <w:shd w:val="clear" w:color="auto" w:fill="1B5E20"/>
          </w:tcPr>
          <w:p>
            <w:pPr>
              <w:jc w:val="center"/>
            </w:pPr>
            <w:r/>
            <w:r>
              <w:rPr>
                <w:b/>
                <w:i w:val="0"/>
                <w:color w:val="FFFFFF"/>
                <w:sz w:val="18"/>
              </w:rPr>
              <w:t>Shareholder</w:t>
            </w:r>
          </w:p>
        </w:tc>
        <w:tc>
          <w:tcPr>
            <w:tcW w:type="dxa" w:w="1361"/>
            <w:shd w:val="clear" w:color="auto" w:fill="1B5E20"/>
          </w:tcPr>
          <w:p>
            <w:pPr>
              <w:jc w:val="center"/>
            </w:pPr>
            <w:r/>
            <w:r>
              <w:rPr>
                <w:b/>
                <w:i w:val="0"/>
                <w:color w:val="FFFFFF"/>
                <w:sz w:val="18"/>
              </w:rPr>
              <w:t>Shares</w:t>
            </w:r>
          </w:p>
        </w:tc>
        <w:tc>
          <w:tcPr>
            <w:tcW w:type="dxa" w:w="1247"/>
            <w:shd w:val="clear" w:color="auto" w:fill="1B5E20"/>
          </w:tcPr>
          <w:p>
            <w:pPr>
              <w:jc w:val="center"/>
            </w:pPr>
            <w:r/>
            <w:r>
              <w:rPr>
                <w:b/>
                <w:i w:val="0"/>
                <w:color w:val="FFFFFF"/>
                <w:sz w:val="18"/>
              </w:rPr>
              <w:t>% Holding</w:t>
            </w:r>
          </w:p>
        </w:tc>
        <w:tc>
          <w:tcPr>
            <w:tcW w:type="dxa" w:w="1474"/>
            <w:shd w:val="clear" w:color="auto" w:fill="1B5E20"/>
          </w:tcPr>
          <w:p>
            <w:pPr>
              <w:jc w:val="center"/>
            </w:pPr>
            <w:r/>
            <w:r>
              <w:rPr>
                <w:b/>
                <w:i w:val="0"/>
                <w:color w:val="FFFFFF"/>
                <w:sz w:val="18"/>
              </w:rPr>
              <w:t>Change</w:t>
            </w:r>
          </w:p>
        </w:tc>
        <w:tc>
          <w:tcPr>
            <w:tcW w:type="dxa" w:w="2608"/>
            <w:shd w:val="clear" w:color="auto" w:fill="1B5E20"/>
          </w:tcPr>
          <w:p>
            <w:pPr>
              <w:jc w:val="center"/>
            </w:pPr>
            <w:r/>
            <w:r>
              <w:rPr>
                <w:b/>
                <w:i w:val="0"/>
                <w:color w:val="FFFFFF"/>
                <w:sz w:val="18"/>
              </w:rPr>
              <w:t>Notes</w:t>
            </w:r>
          </w:p>
        </w:tc>
      </w:tr>
      <w:tr>
        <w:tc>
          <w:tcPr>
            <w:tcW w:type="dxa" w:w="2948"/>
            <w:shd w:val="clear" w:color="auto" w:fill="FFFFFF"/>
          </w:tcPr>
          <w:p>
            <w:r/>
            <w:r>
              <w:rPr>
                <w:b w:val="0"/>
                <w:i w:val="0"/>
                <w:color w:val="1A1A1A"/>
                <w:sz w:val="20"/>
              </w:rPr>
              <w:t>Davin Harald Gaier</w:t>
            </w:r>
          </w:p>
        </w:tc>
        <w:tc>
          <w:tcPr>
            <w:tcW w:type="dxa" w:w="1361"/>
            <w:shd w:val="clear" w:color="auto" w:fill="FFFFFF"/>
          </w:tcPr>
          <w:p>
            <w:pPr>
              <w:jc w:val="center"/>
            </w:pPr>
            <w:r/>
            <w:r>
              <w:rPr>
                <w:b w:val="0"/>
                <w:i w:val="0"/>
                <w:color w:val="1A1A1A"/>
                <w:sz w:val="20"/>
              </w:rPr>
              <w:t>800</w:t>
            </w:r>
          </w:p>
        </w:tc>
        <w:tc>
          <w:tcPr>
            <w:tcW w:type="dxa" w:w="1247"/>
            <w:shd w:val="clear" w:color="auto" w:fill="FFFFFF"/>
          </w:tcPr>
          <w:p>
            <w:pPr>
              <w:jc w:val="center"/>
            </w:pPr>
            <w:r/>
            <w:r>
              <w:rPr>
                <w:b w:val="0"/>
                <w:i w:val="0"/>
                <w:color w:val="1A1A1A"/>
                <w:sz w:val="20"/>
              </w:rPr>
              <w:t>80%</w:t>
            </w:r>
          </w:p>
        </w:tc>
        <w:tc>
          <w:tcPr>
            <w:tcW w:type="dxa" w:w="1474"/>
            <w:shd w:val="clear" w:color="auto" w:fill="FFFFFF"/>
          </w:tcPr>
          <w:p>
            <w:pPr>
              <w:jc w:val="center"/>
            </w:pPr>
            <w:r/>
            <w:r>
              <w:rPr>
                <w:b w:val="0"/>
                <w:i w:val="0"/>
                <w:color w:val="1A1A1A"/>
                <w:sz w:val="20"/>
              </w:rPr>
              <w:t>−100</w:t>
            </w:r>
          </w:p>
        </w:tc>
        <w:tc>
          <w:tcPr>
            <w:tcW w:type="dxa" w:w="2608"/>
            <w:shd w:val="clear" w:color="auto" w:fill="FFFFFF"/>
          </w:tcPr>
          <w:p>
            <w:r/>
            <w:r>
              <w:rPr>
                <w:b w:val="0"/>
                <w:i w:val="0"/>
                <w:color w:val="1A1A1A"/>
                <w:sz w:val="20"/>
              </w:rPr>
              <w:t>Transfers from own holding</w:t>
            </w:r>
          </w:p>
        </w:tc>
      </w:tr>
      <w:tr>
        <w:tc>
          <w:tcPr>
            <w:tcW w:type="dxa" w:w="2948"/>
            <w:shd w:val="clear" w:color="auto" w:fill="F5F5F5"/>
          </w:tcPr>
          <w:p>
            <w:r/>
            <w:r>
              <w:rPr>
                <w:b w:val="0"/>
                <w:i w:val="0"/>
                <w:color w:val="1A1A1A"/>
                <w:sz w:val="20"/>
              </w:rPr>
              <w:t>Simon Henry Newbold Hobday</w:t>
            </w:r>
          </w:p>
        </w:tc>
        <w:tc>
          <w:tcPr>
            <w:tcW w:type="dxa" w:w="1361"/>
            <w:shd w:val="clear" w:color="auto" w:fill="F5F5F5"/>
          </w:tcPr>
          <w:p>
            <w:pPr>
              <w:jc w:val="center"/>
            </w:pPr>
            <w:r/>
            <w:r>
              <w:rPr>
                <w:b w:val="0"/>
                <w:i w:val="0"/>
                <w:color w:val="1A1A1A"/>
                <w:sz w:val="20"/>
              </w:rPr>
              <w:t>200</w:t>
            </w:r>
          </w:p>
        </w:tc>
        <w:tc>
          <w:tcPr>
            <w:tcW w:type="dxa" w:w="1247"/>
            <w:shd w:val="clear" w:color="auto" w:fill="F5F5F5"/>
          </w:tcPr>
          <w:p>
            <w:pPr>
              <w:jc w:val="center"/>
            </w:pPr>
            <w:r/>
            <w:r>
              <w:rPr>
                <w:b w:val="0"/>
                <w:i w:val="0"/>
                <w:color w:val="1A1A1A"/>
                <w:sz w:val="20"/>
              </w:rPr>
              <w:t>20%</w:t>
            </w:r>
          </w:p>
        </w:tc>
        <w:tc>
          <w:tcPr>
            <w:tcW w:type="dxa" w:w="1474"/>
            <w:shd w:val="clear" w:color="auto" w:fill="F5F5F5"/>
          </w:tcPr>
          <w:p>
            <w:pPr>
              <w:jc w:val="center"/>
            </w:pPr>
            <w:r/>
            <w:r>
              <w:rPr>
                <w:b w:val="0"/>
                <w:i w:val="0"/>
                <w:color w:val="1A1A1A"/>
                <w:sz w:val="20"/>
              </w:rPr>
              <w:t>+100</w:t>
            </w:r>
          </w:p>
        </w:tc>
        <w:tc>
          <w:tcPr>
            <w:tcW w:type="dxa" w:w="2608"/>
            <w:shd w:val="clear" w:color="auto" w:fill="F5F5F5"/>
          </w:tcPr>
          <w:p>
            <w:r/>
            <w:r>
              <w:rPr>
                <w:b w:val="0"/>
                <w:i w:val="0"/>
                <w:color w:val="1A1A1A"/>
                <w:sz w:val="20"/>
              </w:rPr>
              <w:t>Tranche 1 earned</w:t>
            </w:r>
          </w:p>
        </w:tc>
      </w:tr>
      <w:tr>
        <w:tc>
          <w:tcPr>
            <w:tcW w:type="dxa" w:w="2948"/>
            <w:shd w:val="clear" w:color="auto" w:fill="F5EBC8"/>
          </w:tcPr>
          <w:p>
            <w:r/>
            <w:r>
              <w:rPr>
                <w:b/>
                <w:i w:val="0"/>
                <w:color w:val="1A1A1A"/>
                <w:sz w:val="20"/>
              </w:rPr>
              <w:t>TOTAL</w:t>
            </w:r>
          </w:p>
        </w:tc>
        <w:tc>
          <w:tcPr>
            <w:tcW w:type="dxa" w:w="1361"/>
            <w:shd w:val="clear" w:color="auto" w:fill="F5EBC8"/>
          </w:tcPr>
          <w:p>
            <w:pPr>
              <w:jc w:val="center"/>
            </w:pPr>
            <w:r/>
            <w:r>
              <w:rPr>
                <w:b/>
                <w:i w:val="0"/>
                <w:color w:val="1A1A1A"/>
                <w:sz w:val="20"/>
              </w:rPr>
              <w:t>1,000</w:t>
            </w:r>
          </w:p>
        </w:tc>
        <w:tc>
          <w:tcPr>
            <w:tcW w:type="dxa" w:w="1247"/>
            <w:shd w:val="clear" w:color="auto" w:fill="F5EBC8"/>
          </w:tcPr>
          <w:p>
            <w:pPr>
              <w:jc w:val="center"/>
            </w:pPr>
            <w:r/>
            <w:r>
              <w:rPr>
                <w:b/>
                <w:i w:val="0"/>
                <w:color w:val="1A1A1A"/>
                <w:sz w:val="20"/>
              </w:rPr>
              <w:t>100%</w:t>
            </w:r>
          </w:p>
        </w:tc>
        <w:tc>
          <w:tcPr>
            <w:tcW w:type="dxa" w:w="1474"/>
            <w:shd w:val="clear" w:color="auto" w:fill="F5EBC8"/>
          </w:tcPr>
          <w:p>
            <w:pPr>
              <w:jc w:val="center"/>
            </w:pPr>
            <w:r/>
            <w:r>
              <w:rPr>
                <w:b/>
                <w:i w:val="0"/>
                <w:color w:val="1A1A1A"/>
                <w:sz w:val="20"/>
              </w:rPr>
              <w:t>—</w:t>
            </w:r>
          </w:p>
        </w:tc>
        <w:tc>
          <w:tcPr>
            <w:tcW w:type="dxa" w:w="2608"/>
            <w:shd w:val="clear" w:color="auto" w:fill="F5EBC8"/>
          </w:tcPr>
          <w:p>
            <w:r/>
            <w:r>
              <w:rPr>
                <w:b/>
                <w:i w:val="0"/>
                <w:color w:val="1A1A1A"/>
                <w:sz w:val="20"/>
              </w:rPr>
            </w:r>
          </w:p>
        </w:tc>
      </w:tr>
    </w:tbl>
    <w:p>
      <w:pPr>
        <w:keepNext/>
        <w:spacing w:before="160" w:after="80"/>
      </w:pPr>
      <w:r>
        <w:rPr>
          <w:rFonts w:ascii="Calibri" w:hAnsi="Calibri"/>
          <w:b/>
          <w:color w:val="1A1A1A"/>
          <w:sz w:val="22"/>
        </w:rPr>
        <w:t>Stage 3 — Post Milestone 2 (R100m AUM)</w:t>
      </w:r>
    </w:p>
    <w:tbl>
      <w:tblPr>
        <w:tblStyle w:val="TableGrid"/>
        <w:tblW w:type="auto" w:w="0"/>
        <w:jc w:val="center"/>
        <w:tblLook w:firstColumn="1" w:firstRow="1" w:lastColumn="0" w:lastRow="0" w:noHBand="0" w:noVBand="1" w:val="04A0"/>
      </w:tblPr>
      <w:tblGrid>
        <w:gridCol w:w="1926"/>
        <w:gridCol w:w="1926"/>
        <w:gridCol w:w="1926"/>
        <w:gridCol w:w="1926"/>
        <w:gridCol w:w="1926"/>
      </w:tblGrid>
      <w:tr>
        <w:tc>
          <w:tcPr>
            <w:tcW w:type="dxa" w:w="2948"/>
            <w:shd w:val="clear" w:color="auto" w:fill="1B5E20"/>
          </w:tcPr>
          <w:p>
            <w:pPr>
              <w:jc w:val="center"/>
            </w:pPr>
            <w:r/>
            <w:r>
              <w:rPr>
                <w:b/>
                <w:i w:val="0"/>
                <w:color w:val="FFFFFF"/>
                <w:sz w:val="18"/>
              </w:rPr>
              <w:t>Shareholder</w:t>
            </w:r>
          </w:p>
        </w:tc>
        <w:tc>
          <w:tcPr>
            <w:tcW w:type="dxa" w:w="1361"/>
            <w:shd w:val="clear" w:color="auto" w:fill="1B5E20"/>
          </w:tcPr>
          <w:p>
            <w:pPr>
              <w:jc w:val="center"/>
            </w:pPr>
            <w:r/>
            <w:r>
              <w:rPr>
                <w:b/>
                <w:i w:val="0"/>
                <w:color w:val="FFFFFF"/>
                <w:sz w:val="18"/>
              </w:rPr>
              <w:t>Shares</w:t>
            </w:r>
          </w:p>
        </w:tc>
        <w:tc>
          <w:tcPr>
            <w:tcW w:type="dxa" w:w="1247"/>
            <w:shd w:val="clear" w:color="auto" w:fill="1B5E20"/>
          </w:tcPr>
          <w:p>
            <w:pPr>
              <w:jc w:val="center"/>
            </w:pPr>
            <w:r/>
            <w:r>
              <w:rPr>
                <w:b/>
                <w:i w:val="0"/>
                <w:color w:val="FFFFFF"/>
                <w:sz w:val="18"/>
              </w:rPr>
              <w:t>% Holding</w:t>
            </w:r>
          </w:p>
        </w:tc>
        <w:tc>
          <w:tcPr>
            <w:tcW w:type="dxa" w:w="1474"/>
            <w:shd w:val="clear" w:color="auto" w:fill="1B5E20"/>
          </w:tcPr>
          <w:p>
            <w:pPr>
              <w:jc w:val="center"/>
            </w:pPr>
            <w:r/>
            <w:r>
              <w:rPr>
                <w:b/>
                <w:i w:val="0"/>
                <w:color w:val="FFFFFF"/>
                <w:sz w:val="18"/>
              </w:rPr>
              <w:t>Change</w:t>
            </w:r>
          </w:p>
        </w:tc>
        <w:tc>
          <w:tcPr>
            <w:tcW w:type="dxa" w:w="2608"/>
            <w:shd w:val="clear" w:color="auto" w:fill="1B5E20"/>
          </w:tcPr>
          <w:p>
            <w:pPr>
              <w:jc w:val="center"/>
            </w:pPr>
            <w:r/>
            <w:r>
              <w:rPr>
                <w:b/>
                <w:i w:val="0"/>
                <w:color w:val="FFFFFF"/>
                <w:sz w:val="18"/>
              </w:rPr>
              <w:t>Notes</w:t>
            </w:r>
          </w:p>
        </w:tc>
      </w:tr>
      <w:tr>
        <w:tc>
          <w:tcPr>
            <w:tcW w:type="dxa" w:w="2948"/>
            <w:shd w:val="clear" w:color="auto" w:fill="FFFFFF"/>
          </w:tcPr>
          <w:p>
            <w:r/>
            <w:r>
              <w:rPr>
                <w:b w:val="0"/>
                <w:i w:val="0"/>
                <w:color w:val="1A1A1A"/>
                <w:sz w:val="20"/>
              </w:rPr>
              <w:t>Davin Harald Gaier</w:t>
            </w:r>
          </w:p>
        </w:tc>
        <w:tc>
          <w:tcPr>
            <w:tcW w:type="dxa" w:w="1361"/>
            <w:shd w:val="clear" w:color="auto" w:fill="FFFFFF"/>
          </w:tcPr>
          <w:p>
            <w:pPr>
              <w:jc w:val="center"/>
            </w:pPr>
            <w:r/>
            <w:r>
              <w:rPr>
                <w:b w:val="0"/>
                <w:i w:val="0"/>
                <w:color w:val="1A1A1A"/>
                <w:sz w:val="20"/>
              </w:rPr>
              <w:t>700</w:t>
            </w:r>
          </w:p>
        </w:tc>
        <w:tc>
          <w:tcPr>
            <w:tcW w:type="dxa" w:w="1247"/>
            <w:shd w:val="clear" w:color="auto" w:fill="FFFFFF"/>
          </w:tcPr>
          <w:p>
            <w:pPr>
              <w:jc w:val="center"/>
            </w:pPr>
            <w:r/>
            <w:r>
              <w:rPr>
                <w:b w:val="0"/>
                <w:i w:val="0"/>
                <w:color w:val="1A1A1A"/>
                <w:sz w:val="20"/>
              </w:rPr>
              <w:t>70%</w:t>
            </w:r>
          </w:p>
        </w:tc>
        <w:tc>
          <w:tcPr>
            <w:tcW w:type="dxa" w:w="1474"/>
            <w:shd w:val="clear" w:color="auto" w:fill="FFFFFF"/>
          </w:tcPr>
          <w:p>
            <w:pPr>
              <w:jc w:val="center"/>
            </w:pPr>
            <w:r/>
            <w:r>
              <w:rPr>
                <w:b w:val="0"/>
                <w:i w:val="0"/>
                <w:color w:val="1A1A1A"/>
                <w:sz w:val="20"/>
              </w:rPr>
              <w:t>−100</w:t>
            </w:r>
          </w:p>
        </w:tc>
        <w:tc>
          <w:tcPr>
            <w:tcW w:type="dxa" w:w="2608"/>
            <w:shd w:val="clear" w:color="auto" w:fill="FFFFFF"/>
          </w:tcPr>
          <w:p>
            <w:r/>
            <w:r>
              <w:rPr>
                <w:b w:val="0"/>
                <w:i w:val="0"/>
                <w:color w:val="1A1A1A"/>
                <w:sz w:val="20"/>
              </w:rPr>
              <w:t>Transfers from own holding</w:t>
            </w:r>
          </w:p>
        </w:tc>
      </w:tr>
      <w:tr>
        <w:tc>
          <w:tcPr>
            <w:tcW w:type="dxa" w:w="2948"/>
            <w:shd w:val="clear" w:color="auto" w:fill="F5F5F5"/>
          </w:tcPr>
          <w:p>
            <w:r/>
            <w:r>
              <w:rPr>
                <w:b w:val="0"/>
                <w:i w:val="0"/>
                <w:color w:val="1A1A1A"/>
                <w:sz w:val="20"/>
              </w:rPr>
              <w:t>Simon Henry Newbold Hobday</w:t>
            </w:r>
          </w:p>
        </w:tc>
        <w:tc>
          <w:tcPr>
            <w:tcW w:type="dxa" w:w="1361"/>
            <w:shd w:val="clear" w:color="auto" w:fill="F5F5F5"/>
          </w:tcPr>
          <w:p>
            <w:pPr>
              <w:jc w:val="center"/>
            </w:pPr>
            <w:r/>
            <w:r>
              <w:rPr>
                <w:b w:val="0"/>
                <w:i w:val="0"/>
                <w:color w:val="1A1A1A"/>
                <w:sz w:val="20"/>
              </w:rPr>
              <w:t>300</w:t>
            </w:r>
          </w:p>
        </w:tc>
        <w:tc>
          <w:tcPr>
            <w:tcW w:type="dxa" w:w="1247"/>
            <w:shd w:val="clear" w:color="auto" w:fill="F5F5F5"/>
          </w:tcPr>
          <w:p>
            <w:pPr>
              <w:jc w:val="center"/>
            </w:pPr>
            <w:r/>
            <w:r>
              <w:rPr>
                <w:b w:val="0"/>
                <w:i w:val="0"/>
                <w:color w:val="1A1A1A"/>
                <w:sz w:val="20"/>
              </w:rPr>
              <w:t>30%</w:t>
            </w:r>
          </w:p>
        </w:tc>
        <w:tc>
          <w:tcPr>
            <w:tcW w:type="dxa" w:w="1474"/>
            <w:shd w:val="clear" w:color="auto" w:fill="F5F5F5"/>
          </w:tcPr>
          <w:p>
            <w:pPr>
              <w:jc w:val="center"/>
            </w:pPr>
            <w:r/>
            <w:r>
              <w:rPr>
                <w:b w:val="0"/>
                <w:i w:val="0"/>
                <w:color w:val="1A1A1A"/>
                <w:sz w:val="20"/>
              </w:rPr>
              <w:t>+100</w:t>
            </w:r>
          </w:p>
        </w:tc>
        <w:tc>
          <w:tcPr>
            <w:tcW w:type="dxa" w:w="2608"/>
            <w:shd w:val="clear" w:color="auto" w:fill="F5F5F5"/>
          </w:tcPr>
          <w:p>
            <w:r/>
            <w:r>
              <w:rPr>
                <w:b w:val="0"/>
                <w:i w:val="0"/>
                <w:color w:val="1A1A1A"/>
                <w:sz w:val="20"/>
              </w:rPr>
              <w:t>Tranche 2 earned</w:t>
            </w:r>
          </w:p>
        </w:tc>
      </w:tr>
      <w:tr>
        <w:tc>
          <w:tcPr>
            <w:tcW w:type="dxa" w:w="2948"/>
            <w:shd w:val="clear" w:color="auto" w:fill="F5EBC8"/>
          </w:tcPr>
          <w:p>
            <w:r/>
            <w:r>
              <w:rPr>
                <w:b/>
                <w:i w:val="0"/>
                <w:color w:val="1A1A1A"/>
                <w:sz w:val="20"/>
              </w:rPr>
              <w:t>TOTAL</w:t>
            </w:r>
          </w:p>
        </w:tc>
        <w:tc>
          <w:tcPr>
            <w:tcW w:type="dxa" w:w="1361"/>
            <w:shd w:val="clear" w:color="auto" w:fill="F5EBC8"/>
          </w:tcPr>
          <w:p>
            <w:pPr>
              <w:jc w:val="center"/>
            </w:pPr>
            <w:r/>
            <w:r>
              <w:rPr>
                <w:b/>
                <w:i w:val="0"/>
                <w:color w:val="1A1A1A"/>
                <w:sz w:val="20"/>
              </w:rPr>
              <w:t>1,000</w:t>
            </w:r>
          </w:p>
        </w:tc>
        <w:tc>
          <w:tcPr>
            <w:tcW w:type="dxa" w:w="1247"/>
            <w:shd w:val="clear" w:color="auto" w:fill="F5EBC8"/>
          </w:tcPr>
          <w:p>
            <w:pPr>
              <w:jc w:val="center"/>
            </w:pPr>
            <w:r/>
            <w:r>
              <w:rPr>
                <w:b/>
                <w:i w:val="0"/>
                <w:color w:val="1A1A1A"/>
                <w:sz w:val="20"/>
              </w:rPr>
              <w:t>100%</w:t>
            </w:r>
          </w:p>
        </w:tc>
        <w:tc>
          <w:tcPr>
            <w:tcW w:type="dxa" w:w="1474"/>
            <w:shd w:val="clear" w:color="auto" w:fill="F5EBC8"/>
          </w:tcPr>
          <w:p>
            <w:pPr>
              <w:jc w:val="center"/>
            </w:pPr>
            <w:r/>
            <w:r>
              <w:rPr>
                <w:b/>
                <w:i w:val="0"/>
                <w:color w:val="1A1A1A"/>
                <w:sz w:val="20"/>
              </w:rPr>
              <w:t>—</w:t>
            </w:r>
          </w:p>
        </w:tc>
        <w:tc>
          <w:tcPr>
            <w:tcW w:type="dxa" w:w="2608"/>
            <w:shd w:val="clear" w:color="auto" w:fill="F5EBC8"/>
          </w:tcPr>
          <w:p>
            <w:r/>
            <w:r>
              <w:rPr>
                <w:b/>
                <w:i w:val="0"/>
                <w:color w:val="1A1A1A"/>
                <w:sz w:val="20"/>
              </w:rPr>
            </w:r>
          </w:p>
        </w:tc>
      </w:tr>
    </w:tbl>
    <w:p>
      <w:pPr>
        <w:keepNext/>
        <w:spacing w:before="160" w:after="80"/>
      </w:pPr>
      <w:r>
        <w:rPr>
          <w:rFonts w:ascii="Calibri" w:hAnsi="Calibri"/>
          <w:b/>
          <w:color w:val="1A1A1A"/>
          <w:sz w:val="22"/>
        </w:rPr>
        <w:t>Stage 4 — Post Milestone 3 (R200m AUM) — Full Earn-In</w:t>
      </w:r>
    </w:p>
    <w:tbl>
      <w:tblPr>
        <w:tblStyle w:val="TableGrid"/>
        <w:tblW w:type="auto" w:w="0"/>
        <w:jc w:val="center"/>
        <w:tblLook w:firstColumn="1" w:firstRow="1" w:lastColumn="0" w:lastRow="0" w:noHBand="0" w:noVBand="1" w:val="04A0"/>
      </w:tblPr>
      <w:tblGrid>
        <w:gridCol w:w="1926"/>
        <w:gridCol w:w="1926"/>
        <w:gridCol w:w="1926"/>
        <w:gridCol w:w="1926"/>
        <w:gridCol w:w="1926"/>
      </w:tblGrid>
      <w:tr>
        <w:tc>
          <w:tcPr>
            <w:tcW w:type="dxa" w:w="2948"/>
            <w:shd w:val="clear" w:color="auto" w:fill="C9A227"/>
          </w:tcPr>
          <w:p>
            <w:pPr>
              <w:jc w:val="center"/>
            </w:pPr>
            <w:r/>
            <w:r>
              <w:rPr>
                <w:b/>
                <w:i w:val="0"/>
                <w:color w:val="FFFFFF"/>
                <w:sz w:val="18"/>
              </w:rPr>
              <w:t>Shareholder</w:t>
            </w:r>
          </w:p>
        </w:tc>
        <w:tc>
          <w:tcPr>
            <w:tcW w:type="dxa" w:w="1361"/>
            <w:shd w:val="clear" w:color="auto" w:fill="C9A227"/>
          </w:tcPr>
          <w:p>
            <w:pPr>
              <w:jc w:val="center"/>
            </w:pPr>
            <w:r/>
            <w:r>
              <w:rPr>
                <w:b/>
                <w:i w:val="0"/>
                <w:color w:val="FFFFFF"/>
                <w:sz w:val="18"/>
              </w:rPr>
              <w:t>Shares</w:t>
            </w:r>
          </w:p>
        </w:tc>
        <w:tc>
          <w:tcPr>
            <w:tcW w:type="dxa" w:w="1247"/>
            <w:shd w:val="clear" w:color="auto" w:fill="C9A227"/>
          </w:tcPr>
          <w:p>
            <w:pPr>
              <w:jc w:val="center"/>
            </w:pPr>
            <w:r/>
            <w:r>
              <w:rPr>
                <w:b/>
                <w:i w:val="0"/>
                <w:color w:val="FFFFFF"/>
                <w:sz w:val="18"/>
              </w:rPr>
              <w:t>% Holding</w:t>
            </w:r>
          </w:p>
        </w:tc>
        <w:tc>
          <w:tcPr>
            <w:tcW w:type="dxa" w:w="1474"/>
            <w:shd w:val="clear" w:color="auto" w:fill="C9A227"/>
          </w:tcPr>
          <w:p>
            <w:pPr>
              <w:jc w:val="center"/>
            </w:pPr>
            <w:r/>
            <w:r>
              <w:rPr>
                <w:b/>
                <w:i w:val="0"/>
                <w:color w:val="FFFFFF"/>
                <w:sz w:val="18"/>
              </w:rPr>
              <w:t>Change</w:t>
            </w:r>
          </w:p>
        </w:tc>
        <w:tc>
          <w:tcPr>
            <w:tcW w:type="dxa" w:w="2608"/>
            <w:shd w:val="clear" w:color="auto" w:fill="C9A227"/>
          </w:tcPr>
          <w:p>
            <w:pPr>
              <w:jc w:val="center"/>
            </w:pPr>
            <w:r/>
            <w:r>
              <w:rPr>
                <w:b/>
                <w:i w:val="0"/>
                <w:color w:val="FFFFFF"/>
                <w:sz w:val="18"/>
              </w:rPr>
              <w:t>Notes</w:t>
            </w:r>
          </w:p>
        </w:tc>
      </w:tr>
      <w:tr>
        <w:tc>
          <w:tcPr>
            <w:tcW w:type="dxa" w:w="2948"/>
            <w:shd w:val="clear" w:color="auto" w:fill="FFFFFF"/>
          </w:tcPr>
          <w:p>
            <w:r/>
            <w:r>
              <w:rPr>
                <w:b w:val="0"/>
                <w:i w:val="0"/>
                <w:color w:val="1A1A1A"/>
                <w:sz w:val="20"/>
              </w:rPr>
              <w:t>Davin Harald Gaier</w:t>
            </w:r>
          </w:p>
        </w:tc>
        <w:tc>
          <w:tcPr>
            <w:tcW w:type="dxa" w:w="1361"/>
            <w:shd w:val="clear" w:color="auto" w:fill="FFFFFF"/>
          </w:tcPr>
          <w:p>
            <w:pPr>
              <w:jc w:val="center"/>
            </w:pPr>
            <w:r/>
            <w:r>
              <w:rPr>
                <w:b w:val="0"/>
                <w:i w:val="0"/>
                <w:color w:val="1A1A1A"/>
                <w:sz w:val="20"/>
              </w:rPr>
              <w:t>600</w:t>
            </w:r>
          </w:p>
        </w:tc>
        <w:tc>
          <w:tcPr>
            <w:tcW w:type="dxa" w:w="1247"/>
            <w:shd w:val="clear" w:color="auto" w:fill="FFFFFF"/>
          </w:tcPr>
          <w:p>
            <w:pPr>
              <w:jc w:val="center"/>
            </w:pPr>
            <w:r/>
            <w:r>
              <w:rPr>
                <w:b w:val="0"/>
                <w:i w:val="0"/>
                <w:color w:val="1A1A1A"/>
                <w:sz w:val="20"/>
              </w:rPr>
              <w:t>60%</w:t>
            </w:r>
          </w:p>
        </w:tc>
        <w:tc>
          <w:tcPr>
            <w:tcW w:type="dxa" w:w="1474"/>
            <w:shd w:val="clear" w:color="auto" w:fill="FFFFFF"/>
          </w:tcPr>
          <w:p>
            <w:pPr>
              <w:jc w:val="center"/>
            </w:pPr>
            <w:r/>
            <w:r>
              <w:rPr>
                <w:b w:val="0"/>
                <w:i w:val="0"/>
                <w:color w:val="1A1A1A"/>
                <w:sz w:val="20"/>
              </w:rPr>
              <w:t>−100</w:t>
            </w:r>
          </w:p>
        </w:tc>
        <w:tc>
          <w:tcPr>
            <w:tcW w:type="dxa" w:w="2608"/>
            <w:shd w:val="clear" w:color="auto" w:fill="FFFFFF"/>
          </w:tcPr>
          <w:p>
            <w:r/>
            <w:r>
              <w:rPr>
                <w:b w:val="0"/>
                <w:i w:val="0"/>
                <w:color w:val="1A1A1A"/>
                <w:sz w:val="20"/>
              </w:rPr>
              <w:t>Final position if all milestones met</w:t>
            </w:r>
          </w:p>
        </w:tc>
      </w:tr>
      <w:tr>
        <w:tc>
          <w:tcPr>
            <w:tcW w:type="dxa" w:w="2948"/>
            <w:shd w:val="clear" w:color="auto" w:fill="F5F5F5"/>
          </w:tcPr>
          <w:p>
            <w:r/>
            <w:r>
              <w:rPr>
                <w:b w:val="0"/>
                <w:i w:val="0"/>
                <w:color w:val="1A1A1A"/>
                <w:sz w:val="20"/>
              </w:rPr>
              <w:t>Simon Henry Newbold Hobday</w:t>
            </w:r>
          </w:p>
        </w:tc>
        <w:tc>
          <w:tcPr>
            <w:tcW w:type="dxa" w:w="1361"/>
            <w:shd w:val="clear" w:color="auto" w:fill="F5F5F5"/>
          </w:tcPr>
          <w:p>
            <w:pPr>
              <w:jc w:val="center"/>
            </w:pPr>
            <w:r/>
            <w:r>
              <w:rPr>
                <w:b w:val="0"/>
                <w:i w:val="0"/>
                <w:color w:val="1A1A1A"/>
                <w:sz w:val="20"/>
              </w:rPr>
              <w:t>400</w:t>
            </w:r>
          </w:p>
        </w:tc>
        <w:tc>
          <w:tcPr>
            <w:tcW w:type="dxa" w:w="1247"/>
            <w:shd w:val="clear" w:color="auto" w:fill="F5F5F5"/>
          </w:tcPr>
          <w:p>
            <w:pPr>
              <w:jc w:val="center"/>
            </w:pPr>
            <w:r/>
            <w:r>
              <w:rPr>
                <w:b w:val="0"/>
                <w:i w:val="0"/>
                <w:color w:val="1A1A1A"/>
                <w:sz w:val="20"/>
              </w:rPr>
              <w:t>40%</w:t>
            </w:r>
          </w:p>
        </w:tc>
        <w:tc>
          <w:tcPr>
            <w:tcW w:type="dxa" w:w="1474"/>
            <w:shd w:val="clear" w:color="auto" w:fill="F5F5F5"/>
          </w:tcPr>
          <w:p>
            <w:pPr>
              <w:jc w:val="center"/>
            </w:pPr>
            <w:r/>
            <w:r>
              <w:rPr>
                <w:b w:val="0"/>
                <w:i w:val="0"/>
                <w:color w:val="1A1A1A"/>
                <w:sz w:val="20"/>
              </w:rPr>
              <w:t>+100</w:t>
            </w:r>
          </w:p>
        </w:tc>
        <w:tc>
          <w:tcPr>
            <w:tcW w:type="dxa" w:w="2608"/>
            <w:shd w:val="clear" w:color="auto" w:fill="F5F5F5"/>
          </w:tcPr>
          <w:p>
            <w:r/>
            <w:r>
              <w:rPr>
                <w:b w:val="0"/>
                <w:i w:val="0"/>
                <w:color w:val="1A1A1A"/>
                <w:sz w:val="20"/>
              </w:rPr>
              <w:t>Tranche 3 earned — maximum earn-in</w:t>
            </w:r>
          </w:p>
        </w:tc>
      </w:tr>
      <w:tr>
        <w:tc>
          <w:tcPr>
            <w:tcW w:type="dxa" w:w="2948"/>
            <w:shd w:val="clear" w:color="auto" w:fill="F5EBC8"/>
          </w:tcPr>
          <w:p>
            <w:r/>
            <w:r>
              <w:rPr>
                <w:b/>
                <w:i w:val="0"/>
                <w:color w:val="1A1A1A"/>
                <w:sz w:val="20"/>
              </w:rPr>
              <w:t>TOTAL</w:t>
            </w:r>
          </w:p>
        </w:tc>
        <w:tc>
          <w:tcPr>
            <w:tcW w:type="dxa" w:w="1361"/>
            <w:shd w:val="clear" w:color="auto" w:fill="F5EBC8"/>
          </w:tcPr>
          <w:p>
            <w:pPr>
              <w:jc w:val="center"/>
            </w:pPr>
            <w:r/>
            <w:r>
              <w:rPr>
                <w:b/>
                <w:i w:val="0"/>
                <w:color w:val="1A1A1A"/>
                <w:sz w:val="20"/>
              </w:rPr>
              <w:t>1,000</w:t>
            </w:r>
          </w:p>
        </w:tc>
        <w:tc>
          <w:tcPr>
            <w:tcW w:type="dxa" w:w="1247"/>
            <w:shd w:val="clear" w:color="auto" w:fill="F5EBC8"/>
          </w:tcPr>
          <w:p>
            <w:pPr>
              <w:jc w:val="center"/>
            </w:pPr>
            <w:r/>
            <w:r>
              <w:rPr>
                <w:b/>
                <w:i w:val="0"/>
                <w:color w:val="1A1A1A"/>
                <w:sz w:val="20"/>
              </w:rPr>
              <w:t>100%</w:t>
            </w:r>
          </w:p>
        </w:tc>
        <w:tc>
          <w:tcPr>
            <w:tcW w:type="dxa" w:w="1474"/>
            <w:shd w:val="clear" w:color="auto" w:fill="F5EBC8"/>
          </w:tcPr>
          <w:p>
            <w:pPr>
              <w:jc w:val="center"/>
            </w:pPr>
            <w:r/>
            <w:r>
              <w:rPr>
                <w:b/>
                <w:i w:val="0"/>
                <w:color w:val="1A1A1A"/>
                <w:sz w:val="20"/>
              </w:rPr>
              <w:t>—</w:t>
            </w:r>
          </w:p>
        </w:tc>
        <w:tc>
          <w:tcPr>
            <w:tcW w:type="dxa" w:w="2608"/>
            <w:shd w:val="clear" w:color="auto" w:fill="F5EBC8"/>
          </w:tcPr>
          <w:p>
            <w:r/>
            <w:r>
              <w:rPr>
                <w:b/>
                <w:i w:val="0"/>
                <w:color w:val="1A1A1A"/>
                <w:sz w:val="20"/>
              </w:rPr>
            </w:r>
          </w:p>
        </w:tc>
      </w:tr>
    </w:tbl>
    <w:p>
      <w:pPr>
        <w:spacing w:after="160"/>
      </w:pPr>
      <w:r>
        <w:rPr>
          <w:i/>
          <w:color w:val="555555"/>
          <w:sz w:val="18"/>
        </w:rPr>
        <w:t>★  Full earn-in: Simon 40%, Davin 60%.</w:t>
      </w:r>
    </w:p>
    <w:p>
      <w:pPr>
        <w:spacing w:before="80" w:after="80"/>
        <w:pBdr>
          <w:bottom w:val="single" w:sz="4" w:space="1" w:color="C9A227"/>
        </w:pBdr>
      </w:pPr>
    </w:p>
    <w:p>
      <w:pPr>
        <w:keepNext/>
        <w:spacing w:before="160" w:after="80"/>
      </w:pPr>
      <w:r>
        <w:rPr>
          <w:rFonts w:ascii="Calibri" w:hAnsi="Calibri"/>
          <w:b/>
          <w:color w:val="1A1A1A"/>
          <w:sz w:val="22"/>
        </w:rPr>
        <w:t>2.  Milestone Outcome Scenarios</w:t>
      </w:r>
    </w:p>
    <w:p>
      <w:pPr>
        <w:spacing w:before="40" w:after="80"/>
      </w:pPr>
      <w:r>
        <w:rPr>
          <w:b w:val="0"/>
          <w:i w:val="0"/>
          <w:color w:val="1A1A1A"/>
          <w:sz w:val="20"/>
        </w:rPr>
        <w:t>Resulting shareholding for each combination of milestone outcomes. Under the new near-miss rule (Clause 7), a narrowly-missed tranche vests pro-rata rather than lapsing entirely — see the worked example below.</w:t>
      </w:r>
    </w:p>
    <w:tbl>
      <w:tblPr>
        <w:tblStyle w:val="TableGrid"/>
        <w:tblW w:type="auto" w:w="0"/>
        <w:jc w:val="center"/>
        <w:tblLook w:firstColumn="1" w:firstRow="1" w:lastColumn="0" w:lastRow="0" w:noHBand="0" w:noVBand="1" w:val="04A0"/>
      </w:tblPr>
      <w:tblGrid>
        <w:gridCol w:w="1605"/>
        <w:gridCol w:w="1605"/>
        <w:gridCol w:w="1605"/>
        <w:gridCol w:w="1605"/>
        <w:gridCol w:w="1605"/>
        <w:gridCol w:w="1605"/>
      </w:tblGrid>
      <w:tr>
        <w:tc>
          <w:tcPr>
            <w:tcW w:type="dxa" w:w="1361"/>
            <w:shd w:val="clear" w:color="auto" w:fill="006064"/>
          </w:tcPr>
          <w:p>
            <w:pPr>
              <w:jc w:val="center"/>
            </w:pPr>
            <w:r/>
            <w:r>
              <w:rPr>
                <w:b/>
                <w:i w:val="0"/>
                <w:color w:val="FFFFFF"/>
                <w:sz w:val="18"/>
              </w:rPr>
              <w:t>M1 (R50m)</w:t>
            </w:r>
          </w:p>
        </w:tc>
        <w:tc>
          <w:tcPr>
            <w:tcW w:type="dxa" w:w="1361"/>
            <w:shd w:val="clear" w:color="auto" w:fill="006064"/>
          </w:tcPr>
          <w:p>
            <w:pPr>
              <w:jc w:val="center"/>
            </w:pPr>
            <w:r/>
            <w:r>
              <w:rPr>
                <w:b/>
                <w:i w:val="0"/>
                <w:color w:val="FFFFFF"/>
                <w:sz w:val="18"/>
              </w:rPr>
              <w:t>M2 (R100m)</w:t>
            </w:r>
          </w:p>
        </w:tc>
        <w:tc>
          <w:tcPr>
            <w:tcW w:type="dxa" w:w="1361"/>
            <w:shd w:val="clear" w:color="auto" w:fill="006064"/>
          </w:tcPr>
          <w:p>
            <w:pPr>
              <w:jc w:val="center"/>
            </w:pPr>
            <w:r/>
            <w:r>
              <w:rPr>
                <w:b/>
                <w:i w:val="0"/>
                <w:color w:val="FFFFFF"/>
                <w:sz w:val="18"/>
              </w:rPr>
              <w:t>M3 (R200m)</w:t>
            </w:r>
          </w:p>
        </w:tc>
        <w:tc>
          <w:tcPr>
            <w:tcW w:type="dxa" w:w="1077"/>
            <w:shd w:val="clear" w:color="auto" w:fill="006064"/>
          </w:tcPr>
          <w:p>
            <w:pPr>
              <w:jc w:val="center"/>
            </w:pPr>
            <w:r/>
            <w:r>
              <w:rPr>
                <w:b/>
                <w:i w:val="0"/>
                <w:color w:val="FFFFFF"/>
                <w:sz w:val="18"/>
              </w:rPr>
              <w:t>Davin</w:t>
            </w:r>
          </w:p>
        </w:tc>
        <w:tc>
          <w:tcPr>
            <w:tcW w:type="dxa" w:w="1077"/>
            <w:shd w:val="clear" w:color="auto" w:fill="006064"/>
          </w:tcPr>
          <w:p>
            <w:pPr>
              <w:jc w:val="center"/>
            </w:pPr>
            <w:r/>
            <w:r>
              <w:rPr>
                <w:b/>
                <w:i w:val="0"/>
                <w:color w:val="FFFFFF"/>
                <w:sz w:val="18"/>
              </w:rPr>
              <w:t>Simon</w:t>
            </w:r>
          </w:p>
        </w:tc>
        <w:tc>
          <w:tcPr>
            <w:tcW w:type="dxa" w:w="2608"/>
            <w:shd w:val="clear" w:color="auto" w:fill="006064"/>
          </w:tcPr>
          <w:p>
            <w:pPr>
              <w:jc w:val="center"/>
            </w:pPr>
            <w:r/>
            <w:r>
              <w:rPr>
                <w:b/>
                <w:i w:val="0"/>
                <w:color w:val="FFFFFF"/>
                <w:sz w:val="18"/>
              </w:rPr>
              <w:t>Outcome</w:t>
            </w:r>
          </w:p>
        </w:tc>
      </w:tr>
      <w:tr>
        <w:tc>
          <w:tcPr>
            <w:tcW w:type="dxa" w:w="1361"/>
            <w:shd w:val="clear" w:color="auto" w:fill="F5EBC8"/>
          </w:tcPr>
          <w:p>
            <w:pPr>
              <w:jc w:val="center"/>
            </w:pPr>
            <w:r/>
            <w:r>
              <w:rPr>
                <w:b w:val="0"/>
                <w:i w:val="0"/>
                <w:color w:val="1B5E20"/>
                <w:sz w:val="18"/>
              </w:rPr>
              <w:t>Earned</w:t>
            </w:r>
          </w:p>
        </w:tc>
        <w:tc>
          <w:tcPr>
            <w:tcW w:type="dxa" w:w="1361"/>
            <w:shd w:val="clear" w:color="auto" w:fill="F5EBC8"/>
          </w:tcPr>
          <w:p>
            <w:pPr>
              <w:jc w:val="center"/>
            </w:pPr>
            <w:r/>
            <w:r>
              <w:rPr>
                <w:b w:val="0"/>
                <w:i w:val="0"/>
                <w:color w:val="1B5E20"/>
                <w:sz w:val="18"/>
              </w:rPr>
              <w:t>Earned</w:t>
            </w:r>
          </w:p>
        </w:tc>
        <w:tc>
          <w:tcPr>
            <w:tcW w:type="dxa" w:w="1361"/>
            <w:shd w:val="clear" w:color="auto" w:fill="F5EBC8"/>
          </w:tcPr>
          <w:p>
            <w:pPr>
              <w:jc w:val="center"/>
            </w:pPr>
            <w:r/>
            <w:r>
              <w:rPr>
                <w:b w:val="0"/>
                <w:i w:val="0"/>
                <w:color w:val="1B5E20"/>
                <w:sz w:val="18"/>
              </w:rPr>
              <w:t>Earned</w:t>
            </w:r>
          </w:p>
        </w:tc>
        <w:tc>
          <w:tcPr>
            <w:tcW w:type="dxa" w:w="1077"/>
            <w:shd w:val="clear" w:color="auto" w:fill="F5EBC8"/>
          </w:tcPr>
          <w:p>
            <w:pPr>
              <w:jc w:val="center"/>
            </w:pPr>
            <w:r/>
            <w:r>
              <w:rPr>
                <w:b/>
                <w:i w:val="0"/>
                <w:color w:val="1A1A1A"/>
                <w:sz w:val="18"/>
              </w:rPr>
              <w:t>60%</w:t>
            </w:r>
          </w:p>
        </w:tc>
        <w:tc>
          <w:tcPr>
            <w:tcW w:type="dxa" w:w="1077"/>
            <w:shd w:val="clear" w:color="auto" w:fill="F5EBC8"/>
          </w:tcPr>
          <w:p>
            <w:pPr>
              <w:jc w:val="center"/>
            </w:pPr>
            <w:r/>
            <w:r>
              <w:rPr>
                <w:b/>
                <w:i w:val="0"/>
                <w:color w:val="1A1A1A"/>
                <w:sz w:val="18"/>
              </w:rPr>
              <w:t>40%</w:t>
            </w:r>
          </w:p>
        </w:tc>
        <w:tc>
          <w:tcPr>
            <w:tcW w:type="dxa" w:w="2608"/>
            <w:shd w:val="clear" w:color="auto" w:fill="F5EBC8"/>
          </w:tcPr>
          <w:p>
            <w:pPr>
              <w:jc w:val="center"/>
            </w:pPr>
            <w:r/>
            <w:r>
              <w:rPr>
                <w:b w:val="0"/>
                <w:i w:val="0"/>
                <w:color w:val="1A1A1A"/>
                <w:sz w:val="18"/>
              </w:rPr>
              <w:t>Best case — full earn-in</w:t>
            </w:r>
          </w:p>
        </w:tc>
      </w:tr>
      <w:tr>
        <w:tc>
          <w:tcPr>
            <w:tcW w:type="dxa" w:w="1361"/>
            <w:shd w:val="clear" w:color="auto" w:fill="F5F5F5"/>
          </w:tcPr>
          <w:p>
            <w:pPr>
              <w:jc w:val="center"/>
            </w:pPr>
            <w:r/>
            <w:r>
              <w:rPr>
                <w:b w:val="0"/>
                <w:i w:val="0"/>
                <w:color w:val="1B5E20"/>
                <w:sz w:val="18"/>
              </w:rPr>
              <w:t>Earned</w:t>
            </w:r>
          </w:p>
        </w:tc>
        <w:tc>
          <w:tcPr>
            <w:tcW w:type="dxa" w:w="1361"/>
            <w:shd w:val="clear" w:color="auto" w:fill="F5F5F5"/>
          </w:tcPr>
          <w:p>
            <w:pPr>
              <w:jc w:val="center"/>
            </w:pPr>
            <w:r/>
            <w:r>
              <w:rPr>
                <w:b w:val="0"/>
                <w:i w:val="0"/>
                <w:color w:val="1B5E20"/>
                <w:sz w:val="18"/>
              </w:rPr>
              <w:t>Earned</w:t>
            </w:r>
          </w:p>
        </w:tc>
        <w:tc>
          <w:tcPr>
            <w:tcW w:type="dxa" w:w="1361"/>
            <w:shd w:val="clear" w:color="auto" w:fill="F5F5F5"/>
          </w:tcPr>
          <w:p>
            <w:pPr>
              <w:jc w:val="center"/>
            </w:pPr>
            <w:r/>
            <w:r>
              <w:rPr>
                <w:b w:val="0"/>
                <w:i w:val="0"/>
                <w:color w:val="B71C1C"/>
                <w:sz w:val="18"/>
              </w:rPr>
              <w:t>Lapsed</w:t>
            </w:r>
          </w:p>
        </w:tc>
        <w:tc>
          <w:tcPr>
            <w:tcW w:type="dxa" w:w="1077"/>
            <w:shd w:val="clear" w:color="auto" w:fill="F5F5F5"/>
          </w:tcPr>
          <w:p>
            <w:pPr>
              <w:jc w:val="center"/>
            </w:pPr>
            <w:r/>
            <w:r>
              <w:rPr>
                <w:b/>
                <w:i w:val="0"/>
                <w:color w:val="1A1A1A"/>
                <w:sz w:val="18"/>
              </w:rPr>
              <w:t>70%</w:t>
            </w:r>
          </w:p>
        </w:tc>
        <w:tc>
          <w:tcPr>
            <w:tcW w:type="dxa" w:w="1077"/>
            <w:shd w:val="clear" w:color="auto" w:fill="F5F5F5"/>
          </w:tcPr>
          <w:p>
            <w:pPr>
              <w:jc w:val="center"/>
            </w:pPr>
            <w:r/>
            <w:r>
              <w:rPr>
                <w:b/>
                <w:i w:val="0"/>
                <w:color w:val="1A1A1A"/>
                <w:sz w:val="18"/>
              </w:rPr>
              <w:t>30%</w:t>
            </w:r>
          </w:p>
        </w:tc>
        <w:tc>
          <w:tcPr>
            <w:tcW w:type="dxa" w:w="2608"/>
            <w:shd w:val="clear" w:color="auto" w:fill="F5F5F5"/>
          </w:tcPr>
          <w:p>
            <w:pPr>
              <w:jc w:val="center"/>
            </w:pPr>
            <w:r/>
            <w:r>
              <w:rPr>
                <w:b w:val="0"/>
                <w:i w:val="0"/>
                <w:color w:val="1A1A1A"/>
                <w:sz w:val="18"/>
              </w:rPr>
              <w:t>M3 missed</w:t>
            </w:r>
          </w:p>
        </w:tc>
      </w:tr>
      <w:tr>
        <w:tc>
          <w:tcPr>
            <w:tcW w:type="dxa" w:w="1361"/>
            <w:shd w:val="clear" w:color="auto" w:fill="FFFFFF"/>
          </w:tcPr>
          <w:p>
            <w:pPr>
              <w:jc w:val="center"/>
            </w:pPr>
            <w:r/>
            <w:r>
              <w:rPr>
                <w:b w:val="0"/>
                <w:i w:val="0"/>
                <w:color w:val="1B5E20"/>
                <w:sz w:val="18"/>
              </w:rPr>
              <w:t>Earned</w:t>
            </w:r>
          </w:p>
        </w:tc>
        <w:tc>
          <w:tcPr>
            <w:tcW w:type="dxa" w:w="1361"/>
            <w:shd w:val="clear" w:color="auto" w:fill="FFFFFF"/>
          </w:tcPr>
          <w:p>
            <w:pPr>
              <w:jc w:val="center"/>
            </w:pPr>
            <w:r/>
            <w:r>
              <w:rPr>
                <w:b w:val="0"/>
                <w:i w:val="0"/>
                <w:color w:val="B71C1C"/>
                <w:sz w:val="18"/>
              </w:rPr>
              <w:t>Lapsed</w:t>
            </w:r>
          </w:p>
        </w:tc>
        <w:tc>
          <w:tcPr>
            <w:tcW w:type="dxa" w:w="1361"/>
            <w:shd w:val="clear" w:color="auto" w:fill="FFFFFF"/>
          </w:tcPr>
          <w:p>
            <w:pPr>
              <w:jc w:val="center"/>
            </w:pPr>
            <w:r/>
            <w:r>
              <w:rPr>
                <w:b w:val="0"/>
                <w:i w:val="0"/>
                <w:color w:val="B71C1C"/>
                <w:sz w:val="18"/>
              </w:rPr>
              <w:t>Lapsed</w:t>
            </w:r>
          </w:p>
        </w:tc>
        <w:tc>
          <w:tcPr>
            <w:tcW w:type="dxa" w:w="1077"/>
            <w:shd w:val="clear" w:color="auto" w:fill="FFFFFF"/>
          </w:tcPr>
          <w:p>
            <w:pPr>
              <w:jc w:val="center"/>
            </w:pPr>
            <w:r/>
            <w:r>
              <w:rPr>
                <w:b/>
                <w:i w:val="0"/>
                <w:color w:val="1A1A1A"/>
                <w:sz w:val="18"/>
              </w:rPr>
              <w:t>80%</w:t>
            </w:r>
          </w:p>
        </w:tc>
        <w:tc>
          <w:tcPr>
            <w:tcW w:type="dxa" w:w="1077"/>
            <w:shd w:val="clear" w:color="auto" w:fill="FFFFFF"/>
          </w:tcPr>
          <w:p>
            <w:pPr>
              <w:jc w:val="center"/>
            </w:pPr>
            <w:r/>
            <w:r>
              <w:rPr>
                <w:b/>
                <w:i w:val="0"/>
                <w:color w:val="1A1A1A"/>
                <w:sz w:val="18"/>
              </w:rPr>
              <w:t>20%</w:t>
            </w:r>
          </w:p>
        </w:tc>
        <w:tc>
          <w:tcPr>
            <w:tcW w:type="dxa" w:w="2608"/>
            <w:shd w:val="clear" w:color="auto" w:fill="FFFFFF"/>
          </w:tcPr>
          <w:p>
            <w:pPr>
              <w:jc w:val="center"/>
            </w:pPr>
            <w:r/>
            <w:r>
              <w:rPr>
                <w:b w:val="0"/>
                <w:i w:val="0"/>
                <w:color w:val="1A1A1A"/>
                <w:sz w:val="18"/>
              </w:rPr>
              <w:t>Only M1 achieved</w:t>
            </w:r>
          </w:p>
        </w:tc>
      </w:tr>
      <w:tr>
        <w:tc>
          <w:tcPr>
            <w:tcW w:type="dxa" w:w="1361"/>
            <w:shd w:val="clear" w:color="auto" w:fill="F5F5F5"/>
          </w:tcPr>
          <w:p>
            <w:pPr>
              <w:jc w:val="center"/>
            </w:pPr>
            <w:r/>
            <w:r>
              <w:rPr>
                <w:b w:val="0"/>
                <w:i w:val="0"/>
                <w:color w:val="B71C1C"/>
                <w:sz w:val="18"/>
              </w:rPr>
              <w:t>Lapsed</w:t>
            </w:r>
          </w:p>
        </w:tc>
        <w:tc>
          <w:tcPr>
            <w:tcW w:type="dxa" w:w="1361"/>
            <w:shd w:val="clear" w:color="auto" w:fill="F5F5F5"/>
          </w:tcPr>
          <w:p>
            <w:pPr>
              <w:jc w:val="center"/>
            </w:pPr>
            <w:r/>
            <w:r>
              <w:rPr>
                <w:b w:val="0"/>
                <w:i w:val="0"/>
                <w:color w:val="B71C1C"/>
                <w:sz w:val="18"/>
              </w:rPr>
              <w:t>Lapsed</w:t>
            </w:r>
          </w:p>
        </w:tc>
        <w:tc>
          <w:tcPr>
            <w:tcW w:type="dxa" w:w="1361"/>
            <w:shd w:val="clear" w:color="auto" w:fill="F5F5F5"/>
          </w:tcPr>
          <w:p>
            <w:pPr>
              <w:jc w:val="center"/>
            </w:pPr>
            <w:r/>
            <w:r>
              <w:rPr>
                <w:b w:val="0"/>
                <w:i w:val="0"/>
                <w:color w:val="B71C1C"/>
                <w:sz w:val="18"/>
              </w:rPr>
              <w:t>Lapsed</w:t>
            </w:r>
          </w:p>
        </w:tc>
        <w:tc>
          <w:tcPr>
            <w:tcW w:type="dxa" w:w="1077"/>
            <w:shd w:val="clear" w:color="auto" w:fill="F5F5F5"/>
          </w:tcPr>
          <w:p>
            <w:pPr>
              <w:jc w:val="center"/>
            </w:pPr>
            <w:r/>
            <w:r>
              <w:rPr>
                <w:b/>
                <w:i w:val="0"/>
                <w:color w:val="1A1A1A"/>
                <w:sz w:val="18"/>
              </w:rPr>
              <w:t>90%</w:t>
            </w:r>
          </w:p>
        </w:tc>
        <w:tc>
          <w:tcPr>
            <w:tcW w:type="dxa" w:w="1077"/>
            <w:shd w:val="clear" w:color="auto" w:fill="F5F5F5"/>
          </w:tcPr>
          <w:p>
            <w:pPr>
              <w:jc w:val="center"/>
            </w:pPr>
            <w:r/>
            <w:r>
              <w:rPr>
                <w:b/>
                <w:i w:val="0"/>
                <w:color w:val="1A1A1A"/>
                <w:sz w:val="18"/>
              </w:rPr>
              <w:t>10%</w:t>
            </w:r>
          </w:p>
        </w:tc>
        <w:tc>
          <w:tcPr>
            <w:tcW w:type="dxa" w:w="2608"/>
            <w:shd w:val="clear" w:color="auto" w:fill="F5F5F5"/>
          </w:tcPr>
          <w:p>
            <w:pPr>
              <w:jc w:val="center"/>
            </w:pPr>
            <w:r/>
            <w:r>
              <w:rPr>
                <w:b w:val="0"/>
                <w:i w:val="0"/>
                <w:color w:val="1A1A1A"/>
                <w:sz w:val="18"/>
              </w:rPr>
              <w:t>No milestones achieved</w:t>
            </w:r>
          </w:p>
        </w:tc>
      </w:tr>
      <w:tr>
        <w:tc>
          <w:tcPr>
            <w:tcW w:type="dxa" w:w="1361"/>
            <w:shd w:val="clear" w:color="auto" w:fill="FFFFFF"/>
          </w:tcPr>
          <w:p>
            <w:pPr>
              <w:jc w:val="center"/>
            </w:pPr>
            <w:r/>
            <w:r>
              <w:rPr>
                <w:b w:val="0"/>
                <w:i w:val="0"/>
                <w:color w:val="B71C1C"/>
                <w:sz w:val="18"/>
              </w:rPr>
              <w:t>Lapsed</w:t>
            </w:r>
          </w:p>
        </w:tc>
        <w:tc>
          <w:tcPr>
            <w:tcW w:type="dxa" w:w="1361"/>
            <w:shd w:val="clear" w:color="auto" w:fill="FFFFFF"/>
          </w:tcPr>
          <w:p>
            <w:pPr>
              <w:jc w:val="center"/>
            </w:pPr>
            <w:r/>
            <w:r>
              <w:rPr>
                <w:b w:val="0"/>
                <w:i w:val="0"/>
                <w:color w:val="1B5E20"/>
                <w:sz w:val="18"/>
              </w:rPr>
              <w:t>Earned</w:t>
            </w:r>
          </w:p>
        </w:tc>
        <w:tc>
          <w:tcPr>
            <w:tcW w:type="dxa" w:w="1361"/>
            <w:shd w:val="clear" w:color="auto" w:fill="FFFFFF"/>
          </w:tcPr>
          <w:p>
            <w:pPr>
              <w:jc w:val="center"/>
            </w:pPr>
            <w:r/>
            <w:r>
              <w:rPr>
                <w:b w:val="0"/>
                <w:i w:val="0"/>
                <w:color w:val="1B5E20"/>
                <w:sz w:val="18"/>
              </w:rPr>
              <w:t>Earned</w:t>
            </w:r>
          </w:p>
        </w:tc>
        <w:tc>
          <w:tcPr>
            <w:tcW w:type="dxa" w:w="1077"/>
            <w:shd w:val="clear" w:color="auto" w:fill="FFFFFF"/>
          </w:tcPr>
          <w:p>
            <w:pPr>
              <w:jc w:val="center"/>
            </w:pPr>
            <w:r/>
            <w:r>
              <w:rPr>
                <w:b/>
                <w:i w:val="0"/>
                <w:color w:val="1A1A1A"/>
                <w:sz w:val="18"/>
              </w:rPr>
              <w:t>70%</w:t>
            </w:r>
          </w:p>
        </w:tc>
        <w:tc>
          <w:tcPr>
            <w:tcW w:type="dxa" w:w="1077"/>
            <w:shd w:val="clear" w:color="auto" w:fill="FFFFFF"/>
          </w:tcPr>
          <w:p>
            <w:pPr>
              <w:jc w:val="center"/>
            </w:pPr>
            <w:r/>
            <w:r>
              <w:rPr>
                <w:b/>
                <w:i w:val="0"/>
                <w:color w:val="1A1A1A"/>
                <w:sz w:val="18"/>
              </w:rPr>
              <w:t>30%</w:t>
            </w:r>
          </w:p>
        </w:tc>
        <w:tc>
          <w:tcPr>
            <w:tcW w:type="dxa" w:w="2608"/>
            <w:shd w:val="clear" w:color="auto" w:fill="FFFFFF"/>
          </w:tcPr>
          <w:p>
            <w:pPr>
              <w:jc w:val="center"/>
            </w:pPr>
            <w:r/>
            <w:r>
              <w:rPr>
                <w:b w:val="0"/>
                <w:i w:val="0"/>
                <w:color w:val="1A1A1A"/>
                <w:sz w:val="18"/>
              </w:rPr>
              <w:t>M1 missed; M2 &amp; M3 achieved</w:t>
            </w:r>
          </w:p>
        </w:tc>
      </w:tr>
    </w:tbl>
    <w:p>
      <w:pPr>
        <w:spacing w:before="40" w:after="80"/>
      </w:pPr>
      <w:r>
        <w:rPr>
          <w:b w:val="0"/>
          <w:i/>
          <w:color w:val="555555"/>
          <w:sz w:val="18"/>
        </w:rPr>
        <w:t>Simon retains his founding 10% regardless of milestone outcomes (subject only to bad-leaver provisions). Unearned tranches revert to Davin.</w:t>
      </w:r>
    </w:p>
    <w:p>
      <w:pPr>
        <w:spacing w:before="80" w:after="80"/>
        <w:pBdr>
          <w:bottom w:val="single" w:sz="4" w:space="1" w:color="C9A227"/>
        </w:pBdr>
      </w:pPr>
    </w:p>
    <w:p>
      <w:pPr>
        <w:keepNext/>
        <w:spacing w:before="160" w:after="80"/>
      </w:pPr>
      <w:r>
        <w:rPr>
          <w:rFonts w:ascii="Calibri" w:hAnsi="Calibri"/>
          <w:b/>
          <w:color w:val="1A1A1A"/>
          <w:sz w:val="22"/>
        </w:rPr>
        <w:t>3.  Near-Miss / Pro-Rata Vesting (Clause 7)</w:t>
      </w:r>
    </w:p>
    <w:p>
      <w:pPr>
        <w:spacing w:before="40" w:after="80"/>
      </w:pPr>
      <w:r>
        <w:rPr>
          <w:b w:val="0"/>
          <w:i w:val="0"/>
          <w:color w:val="1A1A1A"/>
          <w:sz w:val="20"/>
        </w:rPr>
        <w:t>Worked example for Tranche 1 (R50m target): a narrowly-missed tranche now vests pro-rata after an automatic 6-month extension, instead of lapsing in full.</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2268"/>
            <w:shd w:val="clear" w:color="auto" w:fill="006064"/>
          </w:tcPr>
          <w:p>
            <w:pPr>
              <w:jc w:val="center"/>
            </w:pPr>
            <w:r/>
            <w:r>
              <w:rPr>
                <w:b/>
                <w:i w:val="0"/>
                <w:color w:val="FFFFFF"/>
                <w:sz w:val="18"/>
              </w:rPr>
              <w:t>AUM at deadline</w:t>
            </w:r>
          </w:p>
        </w:tc>
        <w:tc>
          <w:tcPr>
            <w:tcW w:type="dxa" w:w="1587"/>
            <w:shd w:val="clear" w:color="auto" w:fill="006064"/>
          </w:tcPr>
          <w:p>
            <w:pPr>
              <w:jc w:val="center"/>
            </w:pPr>
            <w:r/>
            <w:r>
              <w:rPr>
                <w:b/>
                <w:i w:val="0"/>
                <w:color w:val="FFFFFF"/>
                <w:sz w:val="18"/>
              </w:rPr>
              <w:t>% of target</w:t>
            </w:r>
          </w:p>
        </w:tc>
        <w:tc>
          <w:tcPr>
            <w:tcW w:type="dxa" w:w="3402"/>
            <w:shd w:val="clear" w:color="auto" w:fill="006064"/>
          </w:tcPr>
          <w:p>
            <w:pPr>
              <w:jc w:val="center"/>
            </w:pPr>
            <w:r/>
            <w:r>
              <w:rPr>
                <w:b/>
                <w:i w:val="0"/>
                <w:color w:val="FFFFFF"/>
                <w:sz w:val="18"/>
              </w:rPr>
              <w:t>Outcome</w:t>
            </w:r>
          </w:p>
        </w:tc>
        <w:tc>
          <w:tcPr>
            <w:tcW w:type="dxa" w:w="1814"/>
            <w:shd w:val="clear" w:color="auto" w:fill="006064"/>
          </w:tcPr>
          <w:p>
            <w:pPr>
              <w:jc w:val="center"/>
            </w:pPr>
            <w:r/>
            <w:r>
              <w:rPr>
                <w:b/>
                <w:i w:val="0"/>
                <w:color w:val="FFFFFF"/>
                <w:sz w:val="18"/>
              </w:rPr>
              <w:t>Tranche vested</w:t>
            </w:r>
          </w:p>
        </w:tc>
      </w:tr>
      <w:tr>
        <w:tc>
          <w:tcPr>
            <w:tcW w:type="dxa" w:w="2268"/>
            <w:shd w:val="clear" w:color="auto" w:fill="FFFFFF"/>
          </w:tcPr>
          <w:p>
            <w:pPr>
              <w:jc w:val="center"/>
            </w:pPr>
            <w:r/>
            <w:r>
              <w:rPr>
                <w:b w:val="0"/>
                <w:i w:val="0"/>
                <w:color w:val="1A1A1A"/>
                <w:sz w:val="18"/>
              </w:rPr>
              <w:t>R50m or more</w:t>
            </w:r>
          </w:p>
        </w:tc>
        <w:tc>
          <w:tcPr>
            <w:tcW w:type="dxa" w:w="1587"/>
            <w:shd w:val="clear" w:color="auto" w:fill="FFFFFF"/>
          </w:tcPr>
          <w:p>
            <w:pPr>
              <w:jc w:val="center"/>
            </w:pPr>
            <w:r/>
            <w:r>
              <w:rPr>
                <w:b w:val="0"/>
                <w:i w:val="0"/>
                <w:color w:val="1A1A1A"/>
                <w:sz w:val="18"/>
              </w:rPr>
              <w:t>≥100%</w:t>
            </w:r>
          </w:p>
        </w:tc>
        <w:tc>
          <w:tcPr>
            <w:tcW w:type="dxa" w:w="3402"/>
            <w:shd w:val="clear" w:color="auto" w:fill="FFFFFF"/>
          </w:tcPr>
          <w:p>
            <w:pPr>
              <w:jc w:val="center"/>
            </w:pPr>
            <w:r/>
            <w:r>
              <w:rPr>
                <w:b w:val="0"/>
                <w:i w:val="0"/>
                <w:color w:val="1A1A1A"/>
                <w:sz w:val="18"/>
              </w:rPr>
              <w:t>Full tranche vests</w:t>
            </w:r>
          </w:p>
        </w:tc>
        <w:tc>
          <w:tcPr>
            <w:tcW w:type="dxa" w:w="1814"/>
            <w:shd w:val="clear" w:color="auto" w:fill="FFFFFF"/>
          </w:tcPr>
          <w:p>
            <w:pPr>
              <w:jc w:val="center"/>
            </w:pPr>
            <w:r/>
            <w:r>
              <w:rPr>
                <w:b/>
                <w:i w:val="0"/>
                <w:color w:val="1B5E20"/>
                <w:sz w:val="18"/>
              </w:rPr>
              <w:t>10%</w:t>
            </w:r>
          </w:p>
        </w:tc>
      </w:tr>
      <w:tr>
        <w:tc>
          <w:tcPr>
            <w:tcW w:type="dxa" w:w="2268"/>
            <w:shd w:val="clear" w:color="auto" w:fill="F5F5F5"/>
          </w:tcPr>
          <w:p>
            <w:pPr>
              <w:jc w:val="center"/>
            </w:pPr>
            <w:r/>
            <w:r>
              <w:rPr>
                <w:b w:val="0"/>
                <w:i w:val="0"/>
                <w:color w:val="1A1A1A"/>
                <w:sz w:val="18"/>
              </w:rPr>
              <w:t>R45m</w:t>
            </w:r>
          </w:p>
        </w:tc>
        <w:tc>
          <w:tcPr>
            <w:tcW w:type="dxa" w:w="1587"/>
            <w:shd w:val="clear" w:color="auto" w:fill="F5F5F5"/>
          </w:tcPr>
          <w:p>
            <w:pPr>
              <w:jc w:val="center"/>
            </w:pPr>
            <w:r/>
            <w:r>
              <w:rPr>
                <w:b w:val="0"/>
                <w:i w:val="0"/>
                <w:color w:val="1A1A1A"/>
                <w:sz w:val="18"/>
              </w:rPr>
              <w:t>90%</w:t>
            </w:r>
          </w:p>
        </w:tc>
        <w:tc>
          <w:tcPr>
            <w:tcW w:type="dxa" w:w="3402"/>
            <w:shd w:val="clear" w:color="auto" w:fill="F5F5F5"/>
          </w:tcPr>
          <w:p>
            <w:pPr>
              <w:jc w:val="center"/>
            </w:pPr>
            <w:r/>
            <w:r>
              <w:rPr>
                <w:b w:val="0"/>
                <w:i w:val="0"/>
                <w:color w:val="1A1A1A"/>
                <w:sz w:val="18"/>
              </w:rPr>
              <w:t>6-mo extension, then pro-rata</w:t>
            </w:r>
          </w:p>
        </w:tc>
        <w:tc>
          <w:tcPr>
            <w:tcW w:type="dxa" w:w="1814"/>
            <w:shd w:val="clear" w:color="auto" w:fill="F5F5F5"/>
          </w:tcPr>
          <w:p>
            <w:pPr>
              <w:jc w:val="center"/>
            </w:pPr>
            <w:r/>
            <w:r>
              <w:rPr>
                <w:b/>
                <w:i w:val="0"/>
                <w:color w:val="1B5E20"/>
                <w:sz w:val="18"/>
              </w:rPr>
              <w:t>9%</w:t>
            </w:r>
          </w:p>
        </w:tc>
      </w:tr>
      <w:tr>
        <w:tc>
          <w:tcPr>
            <w:tcW w:type="dxa" w:w="2268"/>
            <w:shd w:val="clear" w:color="auto" w:fill="FFFFFF"/>
          </w:tcPr>
          <w:p>
            <w:pPr>
              <w:jc w:val="center"/>
            </w:pPr>
            <w:r/>
            <w:r>
              <w:rPr>
                <w:b w:val="0"/>
                <w:i w:val="0"/>
                <w:color w:val="1A1A1A"/>
                <w:sz w:val="18"/>
              </w:rPr>
              <w:t>R40m</w:t>
            </w:r>
          </w:p>
        </w:tc>
        <w:tc>
          <w:tcPr>
            <w:tcW w:type="dxa" w:w="1587"/>
            <w:shd w:val="clear" w:color="auto" w:fill="FFFFFF"/>
          </w:tcPr>
          <w:p>
            <w:pPr>
              <w:jc w:val="center"/>
            </w:pPr>
            <w:r/>
            <w:r>
              <w:rPr>
                <w:b w:val="0"/>
                <w:i w:val="0"/>
                <w:color w:val="1A1A1A"/>
                <w:sz w:val="18"/>
              </w:rPr>
              <w:t>80%</w:t>
            </w:r>
          </w:p>
        </w:tc>
        <w:tc>
          <w:tcPr>
            <w:tcW w:type="dxa" w:w="3402"/>
            <w:shd w:val="clear" w:color="auto" w:fill="FFFFFF"/>
          </w:tcPr>
          <w:p>
            <w:pPr>
              <w:jc w:val="center"/>
            </w:pPr>
            <w:r/>
            <w:r>
              <w:rPr>
                <w:b w:val="0"/>
                <w:i w:val="0"/>
                <w:color w:val="1A1A1A"/>
                <w:sz w:val="18"/>
              </w:rPr>
              <w:t>6-mo extension, then pro-rata</w:t>
            </w:r>
          </w:p>
        </w:tc>
        <w:tc>
          <w:tcPr>
            <w:tcW w:type="dxa" w:w="1814"/>
            <w:shd w:val="clear" w:color="auto" w:fill="FFFFFF"/>
          </w:tcPr>
          <w:p>
            <w:pPr>
              <w:jc w:val="center"/>
            </w:pPr>
            <w:r/>
            <w:r>
              <w:rPr>
                <w:b/>
                <w:i w:val="0"/>
                <w:color w:val="1B5E20"/>
                <w:sz w:val="18"/>
              </w:rPr>
              <w:t>8%</w:t>
            </w:r>
          </w:p>
        </w:tc>
      </w:tr>
      <w:tr>
        <w:tc>
          <w:tcPr>
            <w:tcW w:type="dxa" w:w="2268"/>
            <w:shd w:val="clear" w:color="auto" w:fill="F5F5F5"/>
          </w:tcPr>
          <w:p>
            <w:pPr>
              <w:jc w:val="center"/>
            </w:pPr>
            <w:r/>
            <w:r>
              <w:rPr>
                <w:b w:val="0"/>
                <w:i w:val="0"/>
                <w:color w:val="1A1A1A"/>
                <w:sz w:val="18"/>
              </w:rPr>
              <w:t>R35m</w:t>
            </w:r>
          </w:p>
        </w:tc>
        <w:tc>
          <w:tcPr>
            <w:tcW w:type="dxa" w:w="1587"/>
            <w:shd w:val="clear" w:color="auto" w:fill="F5F5F5"/>
          </w:tcPr>
          <w:p>
            <w:pPr>
              <w:jc w:val="center"/>
            </w:pPr>
            <w:r/>
            <w:r>
              <w:rPr>
                <w:b w:val="0"/>
                <w:i w:val="0"/>
                <w:color w:val="1A1A1A"/>
                <w:sz w:val="18"/>
              </w:rPr>
              <w:t>70%</w:t>
            </w:r>
          </w:p>
        </w:tc>
        <w:tc>
          <w:tcPr>
            <w:tcW w:type="dxa" w:w="3402"/>
            <w:shd w:val="clear" w:color="auto" w:fill="F5F5F5"/>
          </w:tcPr>
          <w:p>
            <w:pPr>
              <w:jc w:val="center"/>
            </w:pPr>
            <w:r/>
            <w:r>
              <w:rPr>
                <w:b w:val="0"/>
                <w:i w:val="0"/>
                <w:color w:val="B71C1C"/>
                <w:sz w:val="18"/>
              </w:rPr>
              <w:t>Below 80% — tranche lapses</w:t>
            </w:r>
          </w:p>
        </w:tc>
        <w:tc>
          <w:tcPr>
            <w:tcW w:type="dxa" w:w="1814"/>
            <w:shd w:val="clear" w:color="auto" w:fill="F5F5F5"/>
          </w:tcPr>
          <w:p>
            <w:pPr>
              <w:jc w:val="center"/>
            </w:pPr>
            <w:r/>
            <w:r>
              <w:rPr>
                <w:b/>
                <w:i w:val="0"/>
                <w:color w:val="B71C1C"/>
                <w:sz w:val="18"/>
              </w:rPr>
              <w:t>0%</w:t>
            </w:r>
          </w:p>
        </w:tc>
      </w:tr>
    </w:tbl>
    <w:p>
      <w:pPr>
        <w:spacing w:before="80" w:after="80"/>
        <w:pBdr>
          <w:bottom w:val="single" w:sz="4" w:space="1" w:color="C9A227"/>
        </w:pBdr>
      </w:pPr>
    </w:p>
    <w:p>
      <w:pPr>
        <w:keepNext/>
        <w:spacing w:before="160" w:after="80"/>
      </w:pPr>
      <w:r>
        <w:rPr>
          <w:rFonts w:ascii="Calibri" w:hAnsi="Calibri"/>
          <w:b/>
          <w:color w:val="1A1A1A"/>
          <w:sz w:val="22"/>
        </w:rPr>
        <w:t>4.  Milestone Deadlines</w:t>
      </w:r>
    </w:p>
    <w:tbl>
      <w:tblPr>
        <w:tblStyle w:val="TableGrid"/>
        <w:tblW w:type="auto" w:w="0"/>
        <w:jc w:val="center"/>
        <w:tblLook w:firstColumn="1" w:firstRow="1" w:lastColumn="0" w:lastRow="0" w:noHBand="0" w:noVBand="1" w:val="04A0"/>
      </w:tblPr>
      <w:tblGrid>
        <w:gridCol w:w="1926"/>
        <w:gridCol w:w="1926"/>
        <w:gridCol w:w="1926"/>
        <w:gridCol w:w="1926"/>
        <w:gridCol w:w="1926"/>
      </w:tblGrid>
      <w:tr>
        <w:tc>
          <w:tcPr>
            <w:tcW w:type="dxa" w:w="1361"/>
            <w:shd w:val="clear" w:color="auto" w:fill="C9A227"/>
          </w:tcPr>
          <w:p>
            <w:pPr>
              <w:jc w:val="center"/>
            </w:pPr>
            <w:r/>
            <w:r>
              <w:rPr>
                <w:b/>
                <w:i w:val="0"/>
                <w:color w:val="FFFFFF"/>
                <w:sz w:val="18"/>
              </w:rPr>
              <w:t>Tranche</w:t>
            </w:r>
          </w:p>
        </w:tc>
        <w:tc>
          <w:tcPr>
            <w:tcW w:type="dxa" w:w="2041"/>
            <w:shd w:val="clear" w:color="auto" w:fill="C9A227"/>
          </w:tcPr>
          <w:p>
            <w:pPr>
              <w:jc w:val="center"/>
            </w:pPr>
            <w:r/>
            <w:r>
              <w:rPr>
                <w:b/>
                <w:i w:val="0"/>
                <w:color w:val="FFFFFF"/>
                <w:sz w:val="18"/>
              </w:rPr>
              <w:t>AUM Target</w:t>
            </w:r>
          </w:p>
        </w:tc>
        <w:tc>
          <w:tcPr>
            <w:tcW w:type="dxa" w:w="1644"/>
            <w:shd w:val="clear" w:color="auto" w:fill="C9A227"/>
          </w:tcPr>
          <w:p>
            <w:pPr>
              <w:jc w:val="center"/>
            </w:pPr>
            <w:r/>
            <w:r>
              <w:rPr>
                <w:b/>
                <w:i w:val="0"/>
                <w:color w:val="FFFFFF"/>
                <w:sz w:val="18"/>
              </w:rPr>
              <w:t>Equity</w:t>
            </w:r>
          </w:p>
        </w:tc>
        <w:tc>
          <w:tcPr>
            <w:tcW w:type="dxa" w:w="2041"/>
            <w:shd w:val="clear" w:color="auto" w:fill="C9A227"/>
          </w:tcPr>
          <w:p>
            <w:pPr>
              <w:jc w:val="center"/>
            </w:pPr>
            <w:r/>
            <w:r>
              <w:rPr>
                <w:b/>
                <w:i w:val="0"/>
                <w:color w:val="FFFFFF"/>
                <w:sz w:val="18"/>
              </w:rPr>
              <w:t>Deadline</w:t>
            </w:r>
          </w:p>
        </w:tc>
        <w:tc>
          <w:tcPr>
            <w:tcW w:type="dxa" w:w="1984"/>
            <w:shd w:val="clear" w:color="auto" w:fill="C9A227"/>
          </w:tcPr>
          <w:p>
            <w:pPr>
              <w:jc w:val="center"/>
            </w:pPr>
            <w:r/>
            <w:r>
              <w:rPr>
                <w:b/>
                <w:i w:val="0"/>
                <w:color w:val="FFFFFF"/>
                <w:sz w:val="18"/>
              </w:rPr>
              <w:t>Trigger Date</w:t>
            </w:r>
          </w:p>
        </w:tc>
      </w:tr>
      <w:tr>
        <w:tc>
          <w:tcPr>
            <w:tcW w:type="dxa" w:w="1361"/>
            <w:shd w:val="clear" w:color="auto" w:fill="FFFFFF"/>
          </w:tcPr>
          <w:p>
            <w:pPr>
              <w:jc w:val="center"/>
            </w:pPr>
            <w:r/>
            <w:r>
              <w:rPr>
                <w:b w:val="0"/>
                <w:i w:val="0"/>
                <w:color w:val="1A1A1A"/>
                <w:sz w:val="20"/>
              </w:rPr>
              <w:t>Tranche 1</w:t>
            </w:r>
          </w:p>
        </w:tc>
        <w:tc>
          <w:tcPr>
            <w:tcW w:type="dxa" w:w="2041"/>
            <w:shd w:val="clear" w:color="auto" w:fill="FFFFFF"/>
          </w:tcPr>
          <w:p>
            <w:pPr>
              <w:jc w:val="center"/>
            </w:pPr>
            <w:r/>
            <w:r>
              <w:rPr>
                <w:b w:val="0"/>
                <w:i w:val="0"/>
                <w:color w:val="1A1A1A"/>
                <w:sz w:val="20"/>
              </w:rPr>
              <w:t>R50,000,000</w:t>
            </w:r>
          </w:p>
        </w:tc>
        <w:tc>
          <w:tcPr>
            <w:tcW w:type="dxa" w:w="1644"/>
            <w:shd w:val="clear" w:color="auto" w:fill="FFFFFF"/>
          </w:tcPr>
          <w:p>
            <w:pPr>
              <w:jc w:val="center"/>
            </w:pPr>
            <w:r/>
            <w:r>
              <w:rPr>
                <w:b/>
                <w:i w:val="0"/>
                <w:color w:val="1A1A1A"/>
                <w:sz w:val="20"/>
              </w:rPr>
              <w:t>+10% (→20%)</w:t>
            </w:r>
          </w:p>
        </w:tc>
        <w:tc>
          <w:tcPr>
            <w:tcW w:type="dxa" w:w="2041"/>
            <w:shd w:val="clear" w:color="auto" w:fill="FFFFFF"/>
          </w:tcPr>
          <w:p>
            <w:pPr>
              <w:jc w:val="center"/>
            </w:pPr>
            <w:r/>
            <w:r>
              <w:rPr>
                <w:b w:val="0"/>
                <w:i w:val="0"/>
                <w:color w:val="1A1A1A"/>
                <w:sz w:val="20"/>
              </w:rPr>
              <w:t>24 months</w:t>
            </w:r>
          </w:p>
        </w:tc>
        <w:tc>
          <w:tcPr>
            <w:tcW w:type="dxa" w:w="1984"/>
            <w:shd w:val="clear" w:color="auto" w:fill="FFFFFF"/>
          </w:tcPr>
          <w:p>
            <w:pPr>
              <w:jc w:val="center"/>
            </w:pPr>
            <w:r/>
            <w:r>
              <w:rPr>
                <w:b w:val="0"/>
                <w:i w:val="0"/>
                <w:color w:val="1A1A1A"/>
                <w:sz w:val="20"/>
              </w:rPr>
              <w:t>~July 2028</w:t>
            </w:r>
          </w:p>
        </w:tc>
      </w:tr>
      <w:tr>
        <w:tc>
          <w:tcPr>
            <w:tcW w:type="dxa" w:w="1361"/>
            <w:shd w:val="clear" w:color="auto" w:fill="F5F5F5"/>
          </w:tcPr>
          <w:p>
            <w:pPr>
              <w:jc w:val="center"/>
            </w:pPr>
            <w:r/>
            <w:r>
              <w:rPr>
                <w:b w:val="0"/>
                <w:i w:val="0"/>
                <w:color w:val="1A1A1A"/>
                <w:sz w:val="20"/>
              </w:rPr>
              <w:t>Tranche 2</w:t>
            </w:r>
          </w:p>
        </w:tc>
        <w:tc>
          <w:tcPr>
            <w:tcW w:type="dxa" w:w="2041"/>
            <w:shd w:val="clear" w:color="auto" w:fill="F5F5F5"/>
          </w:tcPr>
          <w:p>
            <w:pPr>
              <w:jc w:val="center"/>
            </w:pPr>
            <w:r/>
            <w:r>
              <w:rPr>
                <w:b w:val="0"/>
                <w:i w:val="0"/>
                <w:color w:val="1A1A1A"/>
                <w:sz w:val="20"/>
              </w:rPr>
              <w:t>R100,000,000</w:t>
            </w:r>
          </w:p>
        </w:tc>
        <w:tc>
          <w:tcPr>
            <w:tcW w:type="dxa" w:w="1644"/>
            <w:shd w:val="clear" w:color="auto" w:fill="F5F5F5"/>
          </w:tcPr>
          <w:p>
            <w:pPr>
              <w:jc w:val="center"/>
            </w:pPr>
            <w:r/>
            <w:r>
              <w:rPr>
                <w:b/>
                <w:i w:val="0"/>
                <w:color w:val="1A1A1A"/>
                <w:sz w:val="20"/>
              </w:rPr>
              <w:t>+10% (→30%)</w:t>
            </w:r>
          </w:p>
        </w:tc>
        <w:tc>
          <w:tcPr>
            <w:tcW w:type="dxa" w:w="2041"/>
            <w:shd w:val="clear" w:color="auto" w:fill="F5F5F5"/>
          </w:tcPr>
          <w:p>
            <w:pPr>
              <w:jc w:val="center"/>
            </w:pPr>
            <w:r/>
            <w:r>
              <w:rPr>
                <w:b w:val="0"/>
                <w:i w:val="0"/>
                <w:color w:val="1A1A1A"/>
                <w:sz w:val="20"/>
              </w:rPr>
              <w:t>48 months</w:t>
            </w:r>
          </w:p>
        </w:tc>
        <w:tc>
          <w:tcPr>
            <w:tcW w:type="dxa" w:w="1984"/>
            <w:shd w:val="clear" w:color="auto" w:fill="F5F5F5"/>
          </w:tcPr>
          <w:p>
            <w:pPr>
              <w:jc w:val="center"/>
            </w:pPr>
            <w:r/>
            <w:r>
              <w:rPr>
                <w:b w:val="0"/>
                <w:i w:val="0"/>
                <w:color w:val="1A1A1A"/>
                <w:sz w:val="20"/>
              </w:rPr>
              <w:t>~July 2030</w:t>
            </w:r>
          </w:p>
        </w:tc>
      </w:tr>
      <w:tr>
        <w:tc>
          <w:tcPr>
            <w:tcW w:type="dxa" w:w="1361"/>
            <w:shd w:val="clear" w:color="auto" w:fill="FFFFFF"/>
          </w:tcPr>
          <w:p>
            <w:pPr>
              <w:jc w:val="center"/>
            </w:pPr>
            <w:r/>
            <w:r>
              <w:rPr>
                <w:b w:val="0"/>
                <w:i w:val="0"/>
                <w:color w:val="1A1A1A"/>
                <w:sz w:val="20"/>
              </w:rPr>
              <w:t>Tranche 3</w:t>
            </w:r>
          </w:p>
        </w:tc>
        <w:tc>
          <w:tcPr>
            <w:tcW w:type="dxa" w:w="2041"/>
            <w:shd w:val="clear" w:color="auto" w:fill="FFFFFF"/>
          </w:tcPr>
          <w:p>
            <w:pPr>
              <w:jc w:val="center"/>
            </w:pPr>
            <w:r/>
            <w:r>
              <w:rPr>
                <w:b w:val="0"/>
                <w:i w:val="0"/>
                <w:color w:val="1A1A1A"/>
                <w:sz w:val="20"/>
              </w:rPr>
              <w:t>R200,000,000</w:t>
            </w:r>
          </w:p>
        </w:tc>
        <w:tc>
          <w:tcPr>
            <w:tcW w:type="dxa" w:w="1644"/>
            <w:shd w:val="clear" w:color="auto" w:fill="FFFFFF"/>
          </w:tcPr>
          <w:p>
            <w:pPr>
              <w:jc w:val="center"/>
            </w:pPr>
            <w:r/>
            <w:r>
              <w:rPr>
                <w:b/>
                <w:i w:val="0"/>
                <w:color w:val="1A1A1A"/>
                <w:sz w:val="20"/>
              </w:rPr>
              <w:t>+10% (→40%)</w:t>
            </w:r>
          </w:p>
        </w:tc>
        <w:tc>
          <w:tcPr>
            <w:tcW w:type="dxa" w:w="2041"/>
            <w:shd w:val="clear" w:color="auto" w:fill="FFFFFF"/>
          </w:tcPr>
          <w:p>
            <w:pPr>
              <w:jc w:val="center"/>
            </w:pPr>
            <w:r/>
            <w:r>
              <w:rPr>
                <w:b w:val="0"/>
                <w:i w:val="0"/>
                <w:color w:val="1A1A1A"/>
                <w:sz w:val="20"/>
              </w:rPr>
              <w:t>72 months</w:t>
            </w:r>
          </w:p>
        </w:tc>
        <w:tc>
          <w:tcPr>
            <w:tcW w:type="dxa" w:w="1984"/>
            <w:shd w:val="clear" w:color="auto" w:fill="FFFFFF"/>
          </w:tcPr>
          <w:p>
            <w:pPr>
              <w:jc w:val="center"/>
            </w:pPr>
            <w:r/>
            <w:r>
              <w:rPr>
                <w:b w:val="0"/>
                <w:i w:val="0"/>
                <w:color w:val="1A1A1A"/>
                <w:sz w:val="20"/>
              </w:rPr>
              <w:t>~July 2032</w:t>
            </w:r>
          </w:p>
        </w:tc>
      </w:tr>
    </w:tbl>
    <w:p>
      <w:r>
        <w:br w:type="page"/>
      </w:r>
    </w:p>
    <w:p>
      <w:pPr>
        <w:spacing w:after="40"/>
        <w:jc w:val="center"/>
      </w:pPr>
      <w:r>
        <w:rPr>
          <w:rFonts w:ascii="Calibri" w:hAnsi="Calibri"/>
          <w:b/>
          <w:color w:val="C9A227"/>
          <w:sz w:val="36"/>
        </w:rPr>
        <w:t>BITWEALTH (PTY) LTD</w:t>
      </w:r>
    </w:p>
    <w:p>
      <w:pPr>
        <w:spacing w:after="40"/>
        <w:jc w:val="center"/>
      </w:pPr>
      <w:r>
        <w:rPr>
          <w:color w:val="1A1A1A"/>
          <w:sz w:val="22"/>
        </w:rPr>
        <w:t>Part B — Non-Binding Heads of Terms — Business Development Equity Participation (v3)</w:t>
      </w:r>
    </w:p>
    <w:p>
      <w:pPr>
        <w:spacing w:after="200"/>
        <w:jc w:val="center"/>
      </w:pPr>
      <w:r>
        <w:rPr>
          <w:i/>
          <w:color w:val="555555"/>
          <w:sz w:val="18"/>
        </w:rPr>
        <w:t>Date: 11 July 2026  ·  PRIVATE &amp; CONFIDENTIAL  ·  NON-BINDING  ·  SUBJECT TO CONTRACT</w:t>
      </w:r>
    </w:p>
    <w:p>
      <w:pPr>
        <w:spacing w:before="80" w:after="80"/>
        <w:pBdr>
          <w:bottom w:val="single" w:sz="4" w:space="1" w:color="C9A227"/>
        </w:pBdr>
      </w:pPr>
    </w:p>
    <w:p>
      <w:pPr>
        <w:spacing w:before="40" w:after="80"/>
      </w:pPr>
      <w:r>
        <w:rPr>
          <w:b w:val="0"/>
          <w:i w:val="0"/>
          <w:color w:val="1A1A1A"/>
          <w:sz w:val="20"/>
        </w:rPr>
        <w:t>This term sheet sets out the proposed principal terms of an equity participation arrangement between Davin Harald Gaier and Simon Henry Newbold Hobday in respect of BitWealth (Pty) Ltd. It is non-binding, subject to contract, and for discussion purposes only. Final terms will be recorded in a Shareholders' Agreement and Equity Participation Agreement drafted by the Company's attorneys.</w:t>
      </w:r>
    </w:p>
    <w:p>
      <w:r>
        <w:rPr>
          <w:b/>
          <w:color w:val="B71C1C"/>
          <w:sz w:val="18"/>
        </w:rPr>
        <w:t xml:space="preserve">NOT LEGAL ADVICE.  </w:t>
      </w:r>
      <w:r>
        <w:rPr>
          <w:i/>
          <w:color w:val="555555"/>
          <w:sz w:val="18"/>
        </w:rPr>
        <w:t>This document is negotiation support only. It must be reviewed, and the definitive agreements drafted, by a qualified SA attorney, with FAIS input from Finova Capital and independent tax advice for both parties, before signature.</w:t>
      </w:r>
    </w:p>
    <w:p>
      <w:pPr>
        <w:spacing w:before="80" w:after="80"/>
        <w:pBdr>
          <w:bottom w:val="single" w:sz="4" w:space="1" w:color="C9A227"/>
        </w:pBdr>
      </w:pPr>
    </w:p>
    <w:p>
      <w:pPr>
        <w:keepNext/>
        <w:spacing w:before="280" w:after="80"/>
      </w:pPr>
      <w:r>
        <w:rPr>
          <w:rFonts w:ascii="Calibri" w:hAnsi="Calibri"/>
          <w:b/>
          <w:color w:val="C9A227"/>
          <w:sz w:val="28"/>
        </w:rPr>
        <w:t>1.  PARTIES</w:t>
      </w:r>
    </w:p>
    <w:tbl>
      <w:tblPr>
        <w:tblStyle w:val="TableGrid"/>
        <w:tblW w:type="auto" w:w="0"/>
        <w:jc w:val="left"/>
        <w:tblLook w:firstColumn="1" w:firstRow="1" w:lastColumn="0" w:lastRow="0" w:noHBand="0" w:noVBand="1" w:val="04A0"/>
      </w:tblPr>
      <w:tblGrid>
        <w:gridCol w:w="4816"/>
        <w:gridCol w:w="4816"/>
      </w:tblGrid>
      <w:tr>
        <w:tc>
          <w:tcPr>
            <w:tcW w:type="dxa" w:w="2721"/>
            <w:shd w:val="clear" w:color="auto" w:fill="F5F5F5"/>
          </w:tcPr>
          <w:p>
            <w:r/>
            <w:r>
              <w:rPr>
                <w:b/>
                <w:i w:val="0"/>
                <w:color w:val="1A1A1A"/>
                <w:sz w:val="20"/>
              </w:rPr>
              <w:t>Founder</w:t>
            </w:r>
          </w:p>
        </w:tc>
        <w:tc>
          <w:tcPr>
            <w:tcW w:type="dxa" w:w="6633"/>
            <w:shd w:val="clear" w:color="auto" w:fill="F5F5F5"/>
          </w:tcPr>
          <w:p>
            <w:pPr>
              <w:spacing w:before="20" w:after="40"/>
            </w:pPr>
            <w:r/>
            <w:r>
              <w:rPr>
                <w:color w:val="1A1A1A"/>
                <w:sz w:val="20"/>
              </w:rPr>
              <w:t>Davin Harald Gaier, ID 8405025239081, Republic of South Africa ('Davin').</w:t>
            </w:r>
          </w:p>
        </w:tc>
      </w:tr>
      <w:tr>
        <w:tc>
          <w:tcPr>
            <w:tcW w:type="dxa" w:w="2721"/>
            <w:shd w:val="clear" w:color="auto" w:fill="FFFFFF"/>
          </w:tcPr>
          <w:p>
            <w:r/>
            <w:r>
              <w:rPr>
                <w:b/>
                <w:i w:val="0"/>
                <w:color w:val="1A1A1A"/>
                <w:sz w:val="20"/>
              </w:rPr>
              <w:t>Partner</w:t>
            </w:r>
          </w:p>
        </w:tc>
        <w:tc>
          <w:tcPr>
            <w:tcW w:type="dxa" w:w="6633"/>
            <w:shd w:val="clear" w:color="auto" w:fill="FFFFFF"/>
          </w:tcPr>
          <w:p>
            <w:pPr>
              <w:spacing w:before="20" w:after="40"/>
            </w:pPr>
            <w:r/>
            <w:r>
              <w:rPr>
                <w:color w:val="1A1A1A"/>
                <w:sz w:val="20"/>
              </w:rPr>
              <w:t>Simon Henry Newbold Hobday, ID 6806175080088, Republic of South Africa ('Simon').</w:t>
            </w:r>
          </w:p>
        </w:tc>
      </w:tr>
      <w:tr>
        <w:tc>
          <w:tcPr>
            <w:tcW w:type="dxa" w:w="2721"/>
            <w:shd w:val="clear" w:color="auto" w:fill="F5F5F5"/>
          </w:tcPr>
          <w:p>
            <w:r/>
            <w:r>
              <w:rPr>
                <w:b/>
                <w:i w:val="0"/>
                <w:color w:val="1A1A1A"/>
                <w:sz w:val="20"/>
              </w:rPr>
              <w:t>Company</w:t>
            </w:r>
          </w:p>
        </w:tc>
        <w:tc>
          <w:tcPr>
            <w:tcW w:type="dxa" w:w="6633"/>
            <w:shd w:val="clear" w:color="auto" w:fill="F5F5F5"/>
          </w:tcPr>
          <w:p>
            <w:pPr>
              <w:spacing w:before="20" w:after="40"/>
            </w:pPr>
            <w:r/>
            <w:r>
              <w:rPr>
                <w:color w:val="1A1A1A"/>
                <w:sz w:val="20"/>
              </w:rPr>
              <w:t>BitWealth (Pty) Ltd (Registration No. 2026 / 090346 / 07), a private company incorporated in the Republic of South Africa.</w:t>
            </w:r>
          </w:p>
        </w:tc>
      </w:tr>
      <w:tr>
        <w:tc>
          <w:tcPr>
            <w:tcW w:type="dxa" w:w="2721"/>
            <w:shd w:val="clear" w:color="auto" w:fill="FFFFFF"/>
          </w:tcPr>
          <w:p>
            <w:r/>
            <w:r>
              <w:rPr>
                <w:b/>
                <w:i w:val="0"/>
                <w:color w:val="1A1A1A"/>
                <w:sz w:val="20"/>
              </w:rPr>
              <w:t>FSP</w:t>
            </w:r>
          </w:p>
        </w:tc>
        <w:tc>
          <w:tcPr>
            <w:tcW w:type="dxa" w:w="6633"/>
            <w:shd w:val="clear" w:color="auto" w:fill="FFFFFF"/>
          </w:tcPr>
          <w:p>
            <w:pPr>
              <w:spacing w:before="20" w:after="40"/>
            </w:pPr>
            <w:r/>
            <w:r>
              <w:rPr>
                <w:color w:val="1A1A1A"/>
                <w:sz w:val="20"/>
              </w:rPr>
              <w:t>Finova Capital (Pty) Ltd (FSP No. 21095) — BitWealth to be appointed a Juristic Representative under Finova's FSP licence in terms of the FAIS Act, 2002.</w:t>
            </w:r>
          </w:p>
        </w:tc>
      </w:tr>
    </w:tbl>
    <w:p>
      <w:pPr>
        <w:spacing w:after="80"/>
      </w:pPr>
    </w:p>
    <w:p>
      <w:pPr>
        <w:keepNext/>
        <w:spacing w:before="280" w:after="80"/>
      </w:pPr>
      <w:r>
        <w:rPr>
          <w:rFonts w:ascii="Calibri" w:hAnsi="Calibri"/>
          <w:b/>
          <w:color w:val="C9A227"/>
          <w:sz w:val="28"/>
        </w:rPr>
        <w:t>2.  COMPANY &amp; IP FOUNDATION</w:t>
      </w:r>
    </w:p>
    <w:tbl>
      <w:tblPr>
        <w:tblStyle w:val="TableGrid"/>
        <w:tblW w:type="auto" w:w="0"/>
        <w:jc w:val="left"/>
        <w:tblLook w:firstColumn="1" w:firstRow="1" w:lastColumn="0" w:lastRow="0" w:noHBand="0" w:noVBand="1" w:val="04A0"/>
      </w:tblPr>
      <w:tblGrid>
        <w:gridCol w:w="4816"/>
        <w:gridCol w:w="4816"/>
      </w:tblGrid>
      <w:tr>
        <w:tc>
          <w:tcPr>
            <w:tcW w:type="dxa" w:w="2721"/>
            <w:shd w:val="clear" w:color="auto" w:fill="F5F5F5"/>
          </w:tcPr>
          <w:p>
            <w:r/>
            <w:r>
              <w:rPr>
                <w:b/>
                <w:i w:val="0"/>
                <w:color w:val="1A1A1A"/>
                <w:sz w:val="20"/>
              </w:rPr>
              <w:t>Business</w:t>
            </w:r>
          </w:p>
        </w:tc>
        <w:tc>
          <w:tcPr>
            <w:tcW w:type="dxa" w:w="6633"/>
            <w:shd w:val="clear" w:color="auto" w:fill="F5F5F5"/>
          </w:tcPr>
          <w:p>
            <w:pPr>
              <w:spacing w:before="20" w:after="40"/>
            </w:pPr>
            <w:r/>
            <w:r>
              <w:rPr>
                <w:color w:val="1A1A1A"/>
                <w:sz w:val="20"/>
              </w:rPr>
              <w:t>Bitcoin DCA investment management for retail and HNWI clients, using the Company's proprietary LTH PVR algorithm executed via the VALR exchange.</w:t>
            </w:r>
          </w:p>
        </w:tc>
      </w:tr>
      <w:tr>
        <w:tc>
          <w:tcPr>
            <w:tcW w:type="dxa" w:w="2721"/>
            <w:shd w:val="clear" w:color="auto" w:fill="FFFFFF"/>
          </w:tcPr>
          <w:p>
            <w:r/>
            <w:r>
              <w:rPr>
                <w:b/>
                <w:i w:val="0"/>
                <w:color w:val="1A1A1A"/>
                <w:sz w:val="20"/>
              </w:rPr>
              <w:t>IP Asset</w:t>
            </w:r>
          </w:p>
        </w:tc>
        <w:tc>
          <w:tcPr>
            <w:tcW w:type="dxa" w:w="6633"/>
            <w:shd w:val="clear" w:color="auto" w:fill="FFFFFF"/>
          </w:tcPr>
          <w:p>
            <w:pPr>
              <w:spacing w:before="20" w:after="40"/>
            </w:pPr>
            <w:r/>
            <w:r>
              <w:rPr>
                <w:color w:val="1A1A1A"/>
                <w:sz w:val="20"/>
              </w:rPr>
              <w:t>The BitWealth LTH PVR platform, transferred to the Company by Davin Harald Gaier under a signed IP Transfer Agreement; recorded on the balance sheet at an agreed value of R2,500,000.</w:t>
            </w:r>
          </w:p>
        </w:tc>
      </w:tr>
      <w:tr>
        <w:tc>
          <w:tcPr>
            <w:tcW w:type="dxa" w:w="2721"/>
            <w:shd w:val="clear" w:color="auto" w:fill="F5F5F5"/>
          </w:tcPr>
          <w:p>
            <w:r/>
            <w:r>
              <w:rPr>
                <w:b/>
                <w:i w:val="0"/>
                <w:color w:val="1A1A1A"/>
                <w:sz w:val="20"/>
              </w:rPr>
              <w:t>IP Evidence Pack</w:t>
            </w:r>
          </w:p>
        </w:tc>
        <w:tc>
          <w:tcPr>
            <w:tcW w:type="dxa" w:w="6633"/>
            <w:shd w:val="clear" w:color="auto" w:fill="F5F5F5"/>
          </w:tcPr>
          <w:p>
            <w:pPr>
              <w:spacing w:before="20" w:after="40"/>
            </w:pPr>
            <w:r/>
            <w:r>
              <w:rPr>
                <w:color w:val="1A1A1A"/>
                <w:sz w:val="20"/>
              </w:rPr>
              <w:t>Before signing, the Company will make available:</w:t>
            </w:r>
          </w:p>
          <w:p>
            <w:pPr>
              <w:spacing w:before="20" w:after="40"/>
            </w:pPr>
            <w:r>
              <w:rPr>
                <w:b/>
                <w:color w:val="1A1A1A"/>
                <w:sz w:val="20"/>
              </w:rPr>
              <w:t>(a) the executed IP Transfer Agreement;</w:t>
            </w:r>
          </w:p>
          <w:p>
            <w:pPr>
              <w:spacing w:before="20" w:after="40"/>
            </w:pPr>
            <w:r>
              <w:rPr>
                <w:b/>
                <w:color w:val="1A1A1A"/>
                <w:sz w:val="20"/>
              </w:rPr>
              <w:t>(b) developer / contractor IP-assignment confirmations;</w:t>
            </w:r>
          </w:p>
          <w:p>
            <w:pPr>
              <w:spacing w:before="20" w:after="40"/>
            </w:pPr>
            <w:r>
              <w:rPr>
                <w:b/>
                <w:color w:val="1A1A1A"/>
                <w:sz w:val="20"/>
              </w:rPr>
              <w:t>(c) a list of third-party and open-source dependencies and their licences;</w:t>
            </w:r>
          </w:p>
          <w:p>
            <w:pPr>
              <w:spacing w:before="20" w:after="40"/>
            </w:pPr>
            <w:r>
              <w:rPr>
                <w:b/>
                <w:color w:val="1A1A1A"/>
                <w:sz w:val="20"/>
              </w:rPr>
              <w:t>(d) a warranty of title and no known competing claims.</w:t>
            </w:r>
          </w:p>
        </w:tc>
      </w:tr>
      <w:tr>
        <w:tc>
          <w:tcPr>
            <w:tcW w:type="dxa" w:w="2721"/>
            <w:shd w:val="clear" w:color="auto" w:fill="FFFFFF"/>
          </w:tcPr>
          <w:p>
            <w:r/>
            <w:r>
              <w:rPr>
                <w:b/>
                <w:i w:val="0"/>
                <w:color w:val="1A1A1A"/>
                <w:sz w:val="20"/>
              </w:rPr>
              <w:t>Valuation Basis</w:t>
            </w:r>
          </w:p>
        </w:tc>
        <w:tc>
          <w:tcPr>
            <w:tcW w:type="dxa" w:w="6633"/>
            <w:shd w:val="clear" w:color="auto" w:fill="FFFFFF"/>
          </w:tcPr>
          <w:p>
            <w:pPr>
              <w:spacing w:before="20" w:after="40"/>
            </w:pPr>
            <w:r/>
            <w:r>
              <w:rPr>
                <w:color w:val="1A1A1A"/>
                <w:sz w:val="20"/>
              </w:rPr>
              <w:t>R2,500,000 is the agreed commercial consideration, not an independent valuation. Davin warrants ownership and title, not market value. Simon may commission an independent valuation at his own cost.</w:t>
            </w:r>
          </w:p>
        </w:tc>
      </w:tr>
      <w:tr>
        <w:tc>
          <w:tcPr>
            <w:tcW w:type="dxa" w:w="2721"/>
            <w:shd w:val="clear" w:color="auto" w:fill="F5F5F5"/>
          </w:tcPr>
          <w:p>
            <w:r/>
            <w:r>
              <w:rPr>
                <w:b/>
                <w:i w:val="0"/>
                <w:color w:val="1A1A1A"/>
                <w:sz w:val="20"/>
              </w:rPr>
              <w:t>Share Capital</w:t>
            </w:r>
          </w:p>
        </w:tc>
        <w:tc>
          <w:tcPr>
            <w:tcW w:type="dxa" w:w="6633"/>
            <w:shd w:val="clear" w:color="auto" w:fill="F5F5F5"/>
          </w:tcPr>
          <w:p>
            <w:pPr>
              <w:spacing w:before="20" w:after="40"/>
            </w:pPr>
            <w:r/>
            <w:r>
              <w:rPr>
                <w:color w:val="1A1A1A"/>
                <w:sz w:val="20"/>
              </w:rPr>
              <w:t>1,000 ordinary shares of R1.00 par value in issue, all with equal voting, dividend, and liquidation rights. Davin currently holds all 1,000 shares.</w:t>
            </w:r>
          </w:p>
        </w:tc>
      </w:tr>
    </w:tbl>
    <w:p>
      <w:pPr>
        <w:spacing w:after="80"/>
      </w:pPr>
    </w:p>
    <w:p>
      <w:pPr>
        <w:keepNext/>
        <w:spacing w:before="280" w:after="80"/>
      </w:pPr>
      <w:r>
        <w:rPr>
          <w:rFonts w:ascii="Calibri" w:hAnsi="Calibri"/>
          <w:b/>
          <w:color w:val="C9A227"/>
          <w:sz w:val="28"/>
        </w:rPr>
        <w:t>3.  SIMON'S ROLE &amp; CONTRIBUTION</w:t>
      </w:r>
    </w:p>
    <w:tbl>
      <w:tblPr>
        <w:tblStyle w:val="TableGrid"/>
        <w:tblW w:type="auto" w:w="0"/>
        <w:jc w:val="left"/>
        <w:tblLook w:firstColumn="1" w:firstRow="1" w:lastColumn="0" w:lastRow="0" w:noHBand="0" w:noVBand="1" w:val="04A0"/>
      </w:tblPr>
      <w:tblGrid>
        <w:gridCol w:w="4816"/>
        <w:gridCol w:w="4816"/>
      </w:tblGrid>
      <w:tr>
        <w:tc>
          <w:tcPr>
            <w:tcW w:type="dxa" w:w="2721"/>
            <w:shd w:val="clear" w:color="auto" w:fill="F5F5F5"/>
          </w:tcPr>
          <w:p>
            <w:r/>
            <w:r>
              <w:rPr>
                <w:b/>
                <w:i w:val="0"/>
                <w:color w:val="1A1A1A"/>
                <w:sz w:val="20"/>
              </w:rPr>
              <w:t>Role</w:t>
            </w:r>
          </w:p>
        </w:tc>
        <w:tc>
          <w:tcPr>
            <w:tcW w:type="dxa" w:w="6633"/>
            <w:shd w:val="clear" w:color="auto" w:fill="F5F5F5"/>
          </w:tcPr>
          <w:p>
            <w:pPr>
              <w:spacing w:before="20" w:after="40"/>
            </w:pPr>
            <w:r/>
            <w:r>
              <w:rPr>
                <w:color w:val="1A1A1A"/>
                <w:sz w:val="20"/>
              </w:rPr>
              <w:t>Non-executive Head of Business Development (consulting engagement), with defined quarterly client-acquisition deliverables agreed by the Board.</w:t>
            </w:r>
          </w:p>
        </w:tc>
      </w:tr>
      <w:tr>
        <w:tc>
          <w:tcPr>
            <w:tcW w:type="dxa" w:w="2721"/>
            <w:shd w:val="clear" w:color="auto" w:fill="FFFFFF"/>
          </w:tcPr>
          <w:p>
            <w:r/>
            <w:r>
              <w:rPr>
                <w:b/>
                <w:i w:val="0"/>
                <w:color w:val="1A1A1A"/>
                <w:sz w:val="20"/>
              </w:rPr>
              <w:t>Capital</w:t>
            </w:r>
          </w:p>
        </w:tc>
        <w:tc>
          <w:tcPr>
            <w:tcW w:type="dxa" w:w="6633"/>
            <w:shd w:val="clear" w:color="auto" w:fill="FFFFFF"/>
          </w:tcPr>
          <w:p>
            <w:pPr>
              <w:spacing w:before="20" w:after="40"/>
            </w:pPr>
            <w:r/>
            <w:r>
              <w:rPr>
                <w:color w:val="1A1A1A"/>
                <w:sz w:val="20"/>
              </w:rPr>
              <w:t>NIL — Simon contributes no monetary capital. His additional equity is earned solely through the AUM milestones in Clause 6.</w:t>
            </w:r>
          </w:p>
        </w:tc>
      </w:tr>
      <w:tr>
        <w:tc>
          <w:tcPr>
            <w:tcW w:type="dxa" w:w="2721"/>
            <w:shd w:val="clear" w:color="auto" w:fill="F5F5F5"/>
          </w:tcPr>
          <w:p>
            <w:r/>
            <w:r>
              <w:rPr>
                <w:b/>
                <w:i w:val="0"/>
                <w:color w:val="1A1A1A"/>
                <w:sz w:val="20"/>
              </w:rPr>
              <w:t>Responsibilities</w:t>
            </w:r>
          </w:p>
        </w:tc>
        <w:tc>
          <w:tcPr>
            <w:tcW w:type="dxa" w:w="6633"/>
            <w:shd w:val="clear" w:color="auto" w:fill="F5F5F5"/>
          </w:tcPr>
          <w:p>
            <w:pPr>
              <w:spacing w:before="20" w:after="40"/>
            </w:pPr>
            <w:r/>
            <w:r>
              <w:rPr>
                <w:b/>
                <w:color w:val="1A1A1A"/>
                <w:sz w:val="20"/>
              </w:rPr>
              <w:t>(a) Origination and onboarding of new clients;</w:t>
            </w:r>
          </w:p>
          <w:p>
            <w:pPr>
              <w:spacing w:before="20" w:after="40"/>
            </w:pPr>
            <w:r>
              <w:rPr>
                <w:b/>
                <w:color w:val="1A1A1A"/>
                <w:sz w:val="20"/>
              </w:rPr>
              <w:t>(b) management and growth of client relationships;</w:t>
            </w:r>
          </w:p>
          <w:p>
            <w:pPr>
              <w:spacing w:before="20" w:after="40"/>
            </w:pPr>
            <w:r>
              <w:rPr>
                <w:b/>
                <w:color w:val="1A1A1A"/>
                <w:sz w:val="20"/>
              </w:rPr>
              <w:t>(c) achievement of the AUM milestones;</w:t>
            </w:r>
          </w:p>
          <w:p>
            <w:pPr>
              <w:spacing w:before="20" w:after="40"/>
            </w:pPr>
            <w:r>
              <w:rPr>
                <w:b/>
                <w:color w:val="1A1A1A"/>
                <w:sz w:val="20"/>
              </w:rPr>
              <w:t>(d) other business-development activities agreed by the Board.</w:t>
            </w:r>
          </w:p>
        </w:tc>
      </w:tr>
      <w:tr>
        <w:tc>
          <w:tcPr>
            <w:tcW w:type="dxa" w:w="2721"/>
            <w:shd w:val="clear" w:color="auto" w:fill="FFFFFF"/>
          </w:tcPr>
          <w:p>
            <w:r/>
            <w:r>
              <w:rPr>
                <w:b/>
                <w:i w:val="0"/>
                <w:color w:val="1A1A1A"/>
                <w:sz w:val="20"/>
              </w:rPr>
              <w:t>Support &amp; Budget</w:t>
            </w:r>
          </w:p>
        </w:tc>
        <w:tc>
          <w:tcPr>
            <w:tcW w:type="dxa" w:w="6633"/>
            <w:shd w:val="clear" w:color="auto" w:fill="FFFFFF"/>
          </w:tcPr>
          <w:p>
            <w:pPr>
              <w:spacing w:before="20" w:after="40"/>
            </w:pPr>
            <w:r/>
            <w:r>
              <w:rPr>
                <w:color w:val="1A1A1A"/>
                <w:sz w:val="20"/>
              </w:rPr>
              <w:t>The Company will provide reasonable sales, marketing, and compliance/admin support and an annual marketing budget approved by the Board. Obligations on both sides are defined, not open-ended.</w:t>
            </w:r>
          </w:p>
        </w:tc>
      </w:tr>
      <w:tr>
        <w:tc>
          <w:tcPr>
            <w:tcW w:type="dxa" w:w="2721"/>
            <w:shd w:val="clear" w:color="auto" w:fill="F5F5F5"/>
          </w:tcPr>
          <w:p>
            <w:r/>
            <w:r>
              <w:rPr>
                <w:b/>
                <w:i w:val="0"/>
                <w:color w:val="1A1A1A"/>
                <w:sz w:val="20"/>
              </w:rPr>
              <w:t>Time Commitment</w:t>
            </w:r>
          </w:p>
        </w:tc>
        <w:tc>
          <w:tcPr>
            <w:tcW w:type="dxa" w:w="6633"/>
            <w:shd w:val="clear" w:color="auto" w:fill="F5F5F5"/>
          </w:tcPr>
          <w:p>
            <w:pPr>
              <w:spacing w:before="20" w:after="40"/>
            </w:pPr>
            <w:r/>
            <w:r>
              <w:rPr>
                <w:color w:val="1A1A1A"/>
                <w:sz w:val="20"/>
              </w:rPr>
              <w:t>An agreed minimum monthly time commitment, recorded in the engagement letter.</w:t>
            </w:r>
          </w:p>
        </w:tc>
      </w:tr>
      <w:tr>
        <w:tc>
          <w:tcPr>
            <w:tcW w:type="dxa" w:w="2721"/>
            <w:shd w:val="clear" w:color="auto" w:fill="FFFFFF"/>
          </w:tcPr>
          <w:p>
            <w:r/>
            <w:r>
              <w:rPr>
                <w:b/>
                <w:i w:val="0"/>
                <w:color w:val="1A1A1A"/>
                <w:sz w:val="20"/>
              </w:rPr>
              <w:t>FAIS Accreditation</w:t>
            </w:r>
          </w:p>
        </w:tc>
        <w:tc>
          <w:tcPr>
            <w:tcW w:type="dxa" w:w="6633"/>
            <w:shd w:val="clear" w:color="auto" w:fill="FFFFFF"/>
          </w:tcPr>
          <w:p>
            <w:pPr>
              <w:spacing w:before="20" w:after="40"/>
            </w:pPr>
            <w:r/>
            <w:r>
              <w:rPr>
                <w:color w:val="1A1A1A"/>
                <w:sz w:val="20"/>
              </w:rPr>
              <w:t>Simon will use reasonable endeavours to obtain and maintain the FAIS accreditation required for his role. Delays caused by the FSCA, Finova, paperwork, or the Company are excluded. Only a wilful or negligent failure by Simon constitutes a breach.</w:t>
            </w:r>
          </w:p>
        </w:tc>
      </w:tr>
    </w:tbl>
    <w:p>
      <w:pPr>
        <w:spacing w:after="80"/>
      </w:pPr>
    </w:p>
    <w:p>
      <w:pPr>
        <w:keepNext/>
        <w:spacing w:before="280" w:after="80"/>
      </w:pPr>
      <w:r>
        <w:rPr>
          <w:rFonts w:ascii="Calibri" w:hAnsi="Calibri"/>
          <w:b/>
          <w:color w:val="C9A227"/>
          <w:sz w:val="28"/>
        </w:rPr>
        <w:t>4.  INTRODUCED CLIENT REGISTER</w:t>
      </w:r>
    </w:p>
    <w:tbl>
      <w:tblPr>
        <w:tblStyle w:val="TableGrid"/>
        <w:tblW w:type="auto" w:w="0"/>
        <w:jc w:val="left"/>
        <w:tblLook w:firstColumn="1" w:firstRow="1" w:lastColumn="0" w:lastRow="0" w:noHBand="0" w:noVBand="1" w:val="04A0"/>
      </w:tblPr>
      <w:tblGrid>
        <w:gridCol w:w="4816"/>
        <w:gridCol w:w="4816"/>
      </w:tblGrid>
      <w:tr>
        <w:tc>
          <w:tcPr>
            <w:tcW w:type="dxa" w:w="2721"/>
            <w:shd w:val="clear" w:color="auto" w:fill="F5F5F5"/>
          </w:tcPr>
          <w:p>
            <w:r/>
            <w:r>
              <w:rPr>
                <w:b/>
                <w:i w:val="0"/>
                <w:color w:val="1A1A1A"/>
                <w:sz w:val="20"/>
              </w:rPr>
              <w:t>Register</w:t>
            </w:r>
          </w:p>
        </w:tc>
        <w:tc>
          <w:tcPr>
            <w:tcW w:type="dxa" w:w="6633"/>
            <w:shd w:val="clear" w:color="auto" w:fill="F5F5F5"/>
          </w:tcPr>
          <w:p>
            <w:pPr>
              <w:spacing w:before="20" w:after="40"/>
            </w:pPr>
            <w:r/>
            <w:r>
              <w:rPr>
                <w:color w:val="1A1A1A"/>
                <w:sz w:val="20"/>
              </w:rPr>
              <w:t>The Company maintains an 'Introduced Client Register'. Each client Simon introduces is logged within 5 business days of first meaningful contact.</w:t>
            </w:r>
          </w:p>
        </w:tc>
      </w:tr>
      <w:tr>
        <w:tc>
          <w:tcPr>
            <w:tcW w:type="dxa" w:w="2721"/>
            <w:shd w:val="clear" w:color="auto" w:fill="FFFFFF"/>
          </w:tcPr>
          <w:p>
            <w:r/>
            <w:r>
              <w:rPr>
                <w:b/>
                <w:i w:val="0"/>
                <w:color w:val="1A1A1A"/>
                <w:sz w:val="20"/>
              </w:rPr>
              <w:t>Definition</w:t>
            </w:r>
          </w:p>
        </w:tc>
        <w:tc>
          <w:tcPr>
            <w:tcW w:type="dxa" w:w="6633"/>
            <w:shd w:val="clear" w:color="auto" w:fill="FFFFFF"/>
          </w:tcPr>
          <w:p>
            <w:pPr>
              <w:spacing w:before="20" w:after="40"/>
            </w:pPr>
            <w:r/>
            <w:r>
              <w:rPr>
                <w:color w:val="1A1A1A"/>
                <w:sz w:val="20"/>
              </w:rPr>
              <w:t>An 'Introduced Client' is one where Simon makes the first meaningful contact and who is not already in the Company's active pipeline. Each client is credited once. Disputed entries are resolved by the Board acting reasonably, failing which by independent expert.</w:t>
            </w:r>
          </w:p>
        </w:tc>
      </w:tr>
      <w:tr>
        <w:tc>
          <w:tcPr>
            <w:tcW w:type="dxa" w:w="2721"/>
            <w:shd w:val="clear" w:color="auto" w:fill="F5F5F5"/>
          </w:tcPr>
          <w:p>
            <w:r/>
            <w:r>
              <w:rPr>
                <w:b/>
                <w:i w:val="0"/>
                <w:color w:val="1A1A1A"/>
                <w:sz w:val="20"/>
              </w:rPr>
              <w:t>Conversion Tail</w:t>
            </w:r>
          </w:p>
        </w:tc>
        <w:tc>
          <w:tcPr>
            <w:tcW w:type="dxa" w:w="6633"/>
            <w:shd w:val="clear" w:color="auto" w:fill="F5F5F5"/>
          </w:tcPr>
          <w:p>
            <w:pPr>
              <w:spacing w:before="20" w:after="40"/>
            </w:pPr>
            <w:r/>
            <w:r>
              <w:rPr>
                <w:color w:val="1A1A1A"/>
                <w:sz w:val="20"/>
              </w:rPr>
              <w:t>An Introduced Client who converts within 18 months of introduction, or within 12 months of Simon's exit, counts toward milestones and any applicable revenue share (Clause 8).</w:t>
            </w:r>
          </w:p>
        </w:tc>
      </w:tr>
    </w:tbl>
    <w:p>
      <w:pPr>
        <w:spacing w:after="80"/>
      </w:pPr>
    </w:p>
    <w:p>
      <w:pPr>
        <w:keepNext/>
        <w:spacing w:before="280" w:after="80"/>
      </w:pPr>
      <w:r>
        <w:rPr>
          <w:rFonts w:ascii="Calibri" w:hAnsi="Calibri"/>
          <w:b/>
          <w:color w:val="C9A227"/>
          <w:sz w:val="28"/>
        </w:rPr>
        <w:t>5.  FOUNDING EQUITY GRANT (INITIAL 10%)</w:t>
      </w:r>
    </w:p>
    <w:tbl>
      <w:tblPr>
        <w:tblStyle w:val="TableGrid"/>
        <w:tblW w:type="auto" w:w="0"/>
        <w:jc w:val="left"/>
        <w:tblLook w:firstColumn="1" w:firstRow="1" w:lastColumn="0" w:lastRow="0" w:noHBand="0" w:noVBand="1" w:val="04A0"/>
      </w:tblPr>
      <w:tblGrid>
        <w:gridCol w:w="4816"/>
        <w:gridCol w:w="4816"/>
      </w:tblGrid>
      <w:tr>
        <w:tc>
          <w:tcPr>
            <w:tcW w:type="dxa" w:w="2721"/>
            <w:shd w:val="clear" w:color="auto" w:fill="F5F5F5"/>
          </w:tcPr>
          <w:p>
            <w:r/>
            <w:r>
              <w:rPr>
                <w:b/>
                <w:i w:val="0"/>
                <w:color w:val="1A1A1A"/>
                <w:sz w:val="20"/>
              </w:rPr>
              <w:t>Grant</w:t>
            </w:r>
          </w:p>
        </w:tc>
        <w:tc>
          <w:tcPr>
            <w:tcW w:type="dxa" w:w="6633"/>
            <w:shd w:val="clear" w:color="auto" w:fill="F5F5F5"/>
          </w:tcPr>
          <w:p>
            <w:pPr>
              <w:spacing w:before="20" w:after="40"/>
            </w:pPr>
            <w:r/>
            <w:r>
              <w:rPr>
                <w:color w:val="1A1A1A"/>
                <w:sz w:val="20"/>
              </w:rPr>
              <w:t>On signing, Davin transfers 100 ordinary shares (10%) to Simon for nil consideration. No performance condition attaches to the founding 10%.</w:t>
            </w:r>
          </w:p>
        </w:tc>
      </w:tr>
      <w:tr>
        <w:tc>
          <w:tcPr>
            <w:tcW w:type="dxa" w:w="2721"/>
            <w:shd w:val="clear" w:color="auto" w:fill="FFFFFF"/>
          </w:tcPr>
          <w:p>
            <w:r/>
            <w:r>
              <w:rPr>
                <w:b/>
                <w:i w:val="0"/>
                <w:color w:val="1A1A1A"/>
                <w:sz w:val="20"/>
              </w:rPr>
              <w:t>Notional Value</w:t>
            </w:r>
          </w:p>
        </w:tc>
        <w:tc>
          <w:tcPr>
            <w:tcW w:type="dxa" w:w="6633"/>
            <w:shd w:val="clear" w:color="auto" w:fill="FFFFFF"/>
          </w:tcPr>
          <w:p>
            <w:pPr>
              <w:spacing w:before="20" w:after="40"/>
            </w:pPr>
            <w:r/>
            <w:r>
              <w:rPr>
                <w:color w:val="1A1A1A"/>
                <w:sz w:val="20"/>
              </w:rPr>
              <w:t>At the IP-implied price of R2,500 per share, the notional value is R250,000. This is not a guaranteed or market valuation.</w:t>
            </w:r>
          </w:p>
        </w:tc>
      </w:tr>
      <w:tr>
        <w:tc>
          <w:tcPr>
            <w:tcW w:type="dxa" w:w="2721"/>
            <w:shd w:val="clear" w:color="auto" w:fill="F5F5F5"/>
          </w:tcPr>
          <w:p>
            <w:r/>
            <w:r>
              <w:rPr>
                <w:b/>
                <w:i w:val="0"/>
                <w:color w:val="1A1A1A"/>
                <w:sz w:val="20"/>
              </w:rPr>
              <w:t>Tax Advice</w:t>
            </w:r>
          </w:p>
        </w:tc>
        <w:tc>
          <w:tcPr>
            <w:tcW w:type="dxa" w:w="6633"/>
            <w:shd w:val="clear" w:color="auto" w:fill="F5F5F5"/>
          </w:tcPr>
          <w:p>
            <w:pPr>
              <w:spacing w:before="20" w:after="40"/>
            </w:pPr>
            <w:r/>
            <w:r>
              <w:rPr>
                <w:color w:val="1A1A1A"/>
                <w:sz w:val="20"/>
              </w:rPr>
              <w:t>Both parties will obtain independent tax advice before any nil- or below-value transfer, acknowledging potential income-tax, CGT, and donations-tax consequences of sweat equity, to be cleared first.</w:t>
            </w:r>
          </w:p>
        </w:tc>
      </w:tr>
      <w:tr>
        <w:tc>
          <w:tcPr>
            <w:tcW w:type="dxa" w:w="2721"/>
            <w:shd w:val="clear" w:color="auto" w:fill="FFFFFF"/>
          </w:tcPr>
          <w:p>
            <w:r/>
            <w:r>
              <w:rPr>
                <w:b/>
                <w:i w:val="0"/>
                <w:color w:val="1A1A1A"/>
                <w:sz w:val="20"/>
              </w:rPr>
              <w:t>Effective Date</w:t>
            </w:r>
          </w:p>
        </w:tc>
        <w:tc>
          <w:tcPr>
            <w:tcW w:type="dxa" w:w="6633"/>
            <w:shd w:val="clear" w:color="auto" w:fill="FFFFFF"/>
          </w:tcPr>
          <w:p>
            <w:pPr>
              <w:spacing w:before="20" w:after="40"/>
            </w:pPr>
            <w:r/>
            <w:r>
              <w:rPr>
                <w:color w:val="1A1A1A"/>
                <w:sz w:val="20"/>
              </w:rPr>
              <w:t>Within 5 business days of signature of the Shareholders' Agreement.</w:t>
            </w:r>
          </w:p>
        </w:tc>
      </w:tr>
    </w:tbl>
    <w:p>
      <w:pPr>
        <w:spacing w:after="80"/>
      </w:pPr>
    </w:p>
    <w:p>
      <w:pPr>
        <w:keepNext/>
        <w:spacing w:before="280" w:after="80"/>
      </w:pPr>
      <w:r>
        <w:rPr>
          <w:rFonts w:ascii="Calibri" w:hAnsi="Calibri"/>
          <w:b/>
          <w:color w:val="C9A227"/>
          <w:sz w:val="28"/>
        </w:rPr>
        <w:t>6.  EARN-IN MILESTONES (ADDITIONAL 30%)</w:t>
      </w:r>
    </w:p>
    <w:tbl>
      <w:tblPr>
        <w:tblStyle w:val="TableGrid"/>
        <w:tblW w:type="auto" w:w="0"/>
        <w:jc w:val="left"/>
        <w:tblLook w:firstColumn="1" w:firstRow="1" w:lastColumn="0" w:lastRow="0" w:noHBand="0" w:noVBand="1" w:val="04A0"/>
      </w:tblPr>
      <w:tblGrid>
        <w:gridCol w:w="4816"/>
        <w:gridCol w:w="4816"/>
      </w:tblGrid>
      <w:tr>
        <w:tc>
          <w:tcPr>
            <w:tcW w:type="dxa" w:w="2721"/>
            <w:shd w:val="clear" w:color="auto" w:fill="F5F5F5"/>
          </w:tcPr>
          <w:p>
            <w:r/>
            <w:r>
              <w:rPr>
                <w:b/>
                <w:i w:val="0"/>
                <w:color w:val="1A1A1A"/>
                <w:sz w:val="20"/>
              </w:rPr>
              <w:t>Mechanism</w:t>
            </w:r>
          </w:p>
        </w:tc>
        <w:tc>
          <w:tcPr>
            <w:tcW w:type="dxa" w:w="6633"/>
            <w:shd w:val="clear" w:color="auto" w:fill="F5F5F5"/>
          </w:tcPr>
          <w:p>
            <w:pPr>
              <w:spacing w:before="20" w:after="40"/>
            </w:pPr>
            <w:r/>
            <w:r>
              <w:rPr>
                <w:color w:val="1A1A1A"/>
                <w:sz w:val="20"/>
              </w:rPr>
              <w:t>Simon may earn up to a further 30% in three equal 10% tranches (100 shares each), each a transfer of existing shares from Davin. No new shares are issued.</w:t>
            </w:r>
          </w:p>
        </w:tc>
      </w:tr>
      <w:tr>
        <w:tc>
          <w:tcPr>
            <w:tcW w:type="dxa" w:w="2721"/>
            <w:shd w:val="clear" w:color="auto" w:fill="FFFFFF"/>
          </w:tcPr>
          <w:p>
            <w:r/>
            <w:r>
              <w:rPr>
                <w:b/>
                <w:i w:val="0"/>
                <w:color w:val="1A1A1A"/>
                <w:sz w:val="20"/>
              </w:rPr>
              <w:t>Tranche 1</w:t>
            </w:r>
          </w:p>
        </w:tc>
        <w:tc>
          <w:tcPr>
            <w:tcW w:type="dxa" w:w="6633"/>
            <w:shd w:val="clear" w:color="auto" w:fill="FFFFFF"/>
          </w:tcPr>
          <w:p>
            <w:pPr>
              <w:spacing w:before="20" w:after="40"/>
            </w:pPr>
            <w:r/>
            <w:r>
              <w:rPr>
                <w:color w:val="1A1A1A"/>
                <w:sz w:val="20"/>
              </w:rPr>
              <w:t>10% on verified total AUM of R50,000,000 or more.</w:t>
            </w:r>
          </w:p>
          <w:p>
            <w:pPr>
              <w:spacing w:before="20" w:after="40"/>
            </w:pPr>
            <w:r>
              <w:rPr>
                <w:color w:val="1A1A1A"/>
                <w:sz w:val="20"/>
              </w:rPr>
              <w:t>Deadline: 24 months from the Commencement Date (~July 2028).</w:t>
            </w:r>
          </w:p>
        </w:tc>
      </w:tr>
      <w:tr>
        <w:tc>
          <w:tcPr>
            <w:tcW w:type="dxa" w:w="2721"/>
            <w:shd w:val="clear" w:color="auto" w:fill="F5F5F5"/>
          </w:tcPr>
          <w:p>
            <w:r/>
            <w:r>
              <w:rPr>
                <w:b/>
                <w:i w:val="0"/>
                <w:color w:val="1A1A1A"/>
                <w:sz w:val="20"/>
              </w:rPr>
              <w:t>Tranche 2</w:t>
            </w:r>
          </w:p>
        </w:tc>
        <w:tc>
          <w:tcPr>
            <w:tcW w:type="dxa" w:w="6633"/>
            <w:shd w:val="clear" w:color="auto" w:fill="F5F5F5"/>
          </w:tcPr>
          <w:p>
            <w:pPr>
              <w:spacing w:before="20" w:after="40"/>
            </w:pPr>
            <w:r/>
            <w:r>
              <w:rPr>
                <w:color w:val="1A1A1A"/>
                <w:sz w:val="20"/>
              </w:rPr>
              <w:t>10% on verified total AUM of R100,000,000 or more.</w:t>
            </w:r>
          </w:p>
          <w:p>
            <w:pPr>
              <w:spacing w:before="20" w:after="40"/>
            </w:pPr>
            <w:r>
              <w:rPr>
                <w:color w:val="1A1A1A"/>
                <w:sz w:val="20"/>
              </w:rPr>
              <w:t>Deadline: 48 months from the Commencement Date (~July 2030).</w:t>
            </w:r>
          </w:p>
        </w:tc>
      </w:tr>
      <w:tr>
        <w:tc>
          <w:tcPr>
            <w:tcW w:type="dxa" w:w="2721"/>
            <w:shd w:val="clear" w:color="auto" w:fill="FFFFFF"/>
          </w:tcPr>
          <w:p>
            <w:r/>
            <w:r>
              <w:rPr>
                <w:b/>
                <w:i w:val="0"/>
                <w:color w:val="1A1A1A"/>
                <w:sz w:val="20"/>
              </w:rPr>
              <w:t>Tranche 3</w:t>
            </w:r>
          </w:p>
        </w:tc>
        <w:tc>
          <w:tcPr>
            <w:tcW w:type="dxa" w:w="6633"/>
            <w:shd w:val="clear" w:color="auto" w:fill="FFFFFF"/>
          </w:tcPr>
          <w:p>
            <w:pPr>
              <w:spacing w:before="20" w:after="40"/>
            </w:pPr>
            <w:r/>
            <w:r>
              <w:rPr>
                <w:color w:val="1A1A1A"/>
                <w:sz w:val="20"/>
              </w:rPr>
              <w:t>10% on verified total AUM of R200,000,000 or more.</w:t>
            </w:r>
          </w:p>
          <w:p>
            <w:pPr>
              <w:spacing w:before="20" w:after="40"/>
            </w:pPr>
            <w:r>
              <w:rPr>
                <w:color w:val="1A1A1A"/>
                <w:sz w:val="20"/>
              </w:rPr>
              <w:t>Deadline: 72 months from the Commencement Date (~July 2032).</w:t>
            </w:r>
          </w:p>
        </w:tc>
      </w:tr>
      <w:tr>
        <w:tc>
          <w:tcPr>
            <w:tcW w:type="dxa" w:w="2721"/>
            <w:shd w:val="clear" w:color="auto" w:fill="F5F5F5"/>
          </w:tcPr>
          <w:p>
            <w:r/>
            <w:r>
              <w:rPr>
                <w:b/>
                <w:i w:val="0"/>
                <w:color w:val="1A1A1A"/>
                <w:sz w:val="20"/>
              </w:rPr>
              <w:t>Objective Verification</w:t>
            </w:r>
          </w:p>
        </w:tc>
        <w:tc>
          <w:tcPr>
            <w:tcW w:type="dxa" w:w="6633"/>
            <w:shd w:val="clear" w:color="auto" w:fill="F5F5F5"/>
          </w:tcPr>
          <w:p>
            <w:pPr>
              <w:spacing w:before="20" w:after="40"/>
            </w:pPr>
            <w:r/>
            <w:r>
              <w:rPr>
                <w:color w:val="1A1A1A"/>
                <w:sz w:val="20"/>
              </w:rPr>
              <w:t>A milestone is achieved when total AUM meets the target at a month-end AND remains at or above it to the next month-end (two consecutive month-ends), verified objectively from platform, custodian, exchange, and accounting records. This prevents a one-day spike from triggering a permanent equity transfer.</w:t>
            </w:r>
          </w:p>
        </w:tc>
      </w:tr>
      <w:tr>
        <w:tc>
          <w:tcPr>
            <w:tcW w:type="dxa" w:w="2721"/>
            <w:shd w:val="clear" w:color="auto" w:fill="FFFFFF"/>
          </w:tcPr>
          <w:p>
            <w:r/>
            <w:r>
              <w:rPr>
                <w:b/>
                <w:i w:val="0"/>
                <w:color w:val="1A1A1A"/>
                <w:sz w:val="20"/>
              </w:rPr>
              <w:t>Administrative Confirmation</w:t>
            </w:r>
          </w:p>
        </w:tc>
        <w:tc>
          <w:tcPr>
            <w:tcW w:type="dxa" w:w="6633"/>
            <w:shd w:val="clear" w:color="auto" w:fill="FFFFFF"/>
          </w:tcPr>
          <w:p>
            <w:pPr>
              <w:spacing w:before="20" w:after="40"/>
            </w:pPr>
            <w:r/>
            <w:r>
              <w:rPr>
                <w:color w:val="1A1A1A"/>
                <w:sz w:val="20"/>
              </w:rPr>
              <w:t>Board confirmation is administrative only and may not be unreasonably withheld or delayed. If the evidence shows the threshold met and sustained and the Board has not confirmed within 10 business days, the milestone is deemed achieved.</w:t>
            </w:r>
          </w:p>
        </w:tc>
      </w:tr>
      <w:tr>
        <w:tc>
          <w:tcPr>
            <w:tcW w:type="dxa" w:w="2721"/>
            <w:shd w:val="clear" w:color="auto" w:fill="F5F5F5"/>
          </w:tcPr>
          <w:p>
            <w:r/>
            <w:r>
              <w:rPr>
                <w:b/>
                <w:i w:val="0"/>
                <w:color w:val="1A1A1A"/>
                <w:sz w:val="20"/>
              </w:rPr>
              <w:t>Sequence</w:t>
            </w:r>
          </w:p>
        </w:tc>
        <w:tc>
          <w:tcPr>
            <w:tcW w:type="dxa" w:w="6633"/>
            <w:shd w:val="clear" w:color="auto" w:fill="F5F5F5"/>
          </w:tcPr>
          <w:p>
            <w:pPr>
              <w:spacing w:before="20" w:after="40"/>
            </w:pPr>
            <w:r/>
            <w:r>
              <w:rPr>
                <w:color w:val="1A1A1A"/>
                <w:sz w:val="20"/>
              </w:rPr>
              <w:t>Milestones are achieved in sequence; a later tranche cannot vest before the earlier tranche is earned (or its shortfall resolved under Clause 7).</w:t>
            </w:r>
          </w:p>
        </w:tc>
      </w:tr>
      <w:tr>
        <w:tc>
          <w:tcPr>
            <w:tcW w:type="dxa" w:w="2721"/>
            <w:shd w:val="clear" w:color="auto" w:fill="FFFFFF"/>
          </w:tcPr>
          <w:p>
            <w:r/>
            <w:r>
              <w:rPr>
                <w:b/>
                <w:i w:val="0"/>
                <w:color w:val="1A1A1A"/>
                <w:sz w:val="20"/>
              </w:rPr>
              <w:t>Maximum / Minimum</w:t>
            </w:r>
          </w:p>
        </w:tc>
        <w:tc>
          <w:tcPr>
            <w:tcW w:type="dxa" w:w="6633"/>
            <w:shd w:val="clear" w:color="auto" w:fill="FFFFFF"/>
          </w:tcPr>
          <w:p>
            <w:pPr>
              <w:spacing w:before="20" w:after="40"/>
            </w:pPr>
            <w:r/>
            <w:r>
              <w:rPr>
                <w:color w:val="1A1A1A"/>
                <w:sz w:val="20"/>
              </w:rPr>
              <w:t>Full earn-in: Davin 60%, Simon 40%. Simon retains his founding 10% regardless of milestone outcome (subject to Clause 9).</w:t>
            </w:r>
          </w:p>
        </w:tc>
      </w:tr>
    </w:tbl>
    <w:p>
      <w:pPr>
        <w:spacing w:after="80"/>
      </w:pPr>
    </w:p>
    <w:p>
      <w:pPr>
        <w:keepNext/>
        <w:spacing w:before="280" w:after="80"/>
      </w:pPr>
      <w:r>
        <w:rPr>
          <w:rFonts w:ascii="Calibri" w:hAnsi="Calibri"/>
          <w:b/>
          <w:color w:val="C9A227"/>
          <w:sz w:val="28"/>
        </w:rPr>
        <w:t>7.  MILESTONE SHORTFALL — NEAR-MISS VESTING</w:t>
      </w:r>
    </w:p>
    <w:tbl>
      <w:tblPr>
        <w:tblStyle w:val="TableGrid"/>
        <w:tblW w:type="auto" w:w="0"/>
        <w:jc w:val="left"/>
        <w:tblLook w:firstColumn="1" w:firstRow="1" w:lastColumn="0" w:lastRow="0" w:noHBand="0" w:noVBand="1" w:val="04A0"/>
      </w:tblPr>
      <w:tblGrid>
        <w:gridCol w:w="4816"/>
        <w:gridCol w:w="4816"/>
      </w:tblGrid>
      <w:tr>
        <w:tc>
          <w:tcPr>
            <w:tcW w:type="dxa" w:w="2721"/>
            <w:shd w:val="clear" w:color="auto" w:fill="F5F5F5"/>
          </w:tcPr>
          <w:p>
            <w:r/>
            <w:r>
              <w:rPr>
                <w:b/>
                <w:i w:val="0"/>
                <w:color w:val="1A1A1A"/>
                <w:sz w:val="20"/>
              </w:rPr>
              <w:t>Replaces v2 options</w:t>
            </w:r>
          </w:p>
        </w:tc>
        <w:tc>
          <w:tcPr>
            <w:tcW w:type="dxa" w:w="6633"/>
            <w:shd w:val="clear" w:color="auto" w:fill="F5F5F5"/>
          </w:tcPr>
          <w:p>
            <w:pPr>
              <w:spacing w:before="20" w:after="40"/>
            </w:pPr>
            <w:r/>
            <w:r>
              <w:rPr>
                <w:color w:val="1A1A1A"/>
                <w:sz w:val="20"/>
              </w:rPr>
              <w:t>This unified mechanism replaces the four options in v2 and applies equally to all three tranches.</w:t>
            </w:r>
          </w:p>
        </w:tc>
      </w:tr>
      <w:tr>
        <w:tc>
          <w:tcPr>
            <w:tcW w:type="dxa" w:w="2721"/>
            <w:shd w:val="clear" w:color="auto" w:fill="FFFFFF"/>
          </w:tcPr>
          <w:p>
            <w:r/>
            <w:r>
              <w:rPr>
                <w:b/>
                <w:i w:val="0"/>
                <w:color w:val="1A1A1A"/>
                <w:sz w:val="20"/>
              </w:rPr>
              <w:t>Step 1 — Extension</w:t>
            </w:r>
          </w:p>
        </w:tc>
        <w:tc>
          <w:tcPr>
            <w:tcW w:type="dxa" w:w="6633"/>
            <w:shd w:val="clear" w:color="auto" w:fill="FFFFFF"/>
          </w:tcPr>
          <w:p>
            <w:pPr>
              <w:spacing w:before="20" w:after="40"/>
            </w:pPr>
            <w:r/>
            <w:r>
              <w:rPr>
                <w:color w:val="1A1A1A"/>
                <w:sz w:val="20"/>
              </w:rPr>
              <w:t>If AUM reaches at least 80% of the target by the deadline, Simon automatically receives a single 6-month extension for that tranche.</w:t>
            </w:r>
          </w:p>
        </w:tc>
      </w:tr>
      <w:tr>
        <w:tc>
          <w:tcPr>
            <w:tcW w:type="dxa" w:w="2721"/>
            <w:shd w:val="clear" w:color="auto" w:fill="F5F5F5"/>
          </w:tcPr>
          <w:p>
            <w:r/>
            <w:r>
              <w:rPr>
                <w:b/>
                <w:i w:val="0"/>
                <w:color w:val="1A1A1A"/>
                <w:sz w:val="20"/>
              </w:rPr>
              <w:t>Step 2 — Pro-rata vesting</w:t>
            </w:r>
          </w:p>
        </w:tc>
        <w:tc>
          <w:tcPr>
            <w:tcW w:type="dxa" w:w="6633"/>
            <w:shd w:val="clear" w:color="auto" w:fill="F5F5F5"/>
          </w:tcPr>
          <w:p>
            <w:pPr>
              <w:spacing w:before="20" w:after="40"/>
            </w:pPr>
            <w:r/>
            <w:r>
              <w:rPr>
                <w:color w:val="1A1A1A"/>
                <w:sz w:val="20"/>
              </w:rPr>
              <w:t>If, at the end of the extension, AUM is still below target but at least 80% of it, Simon vests a pro-rata portion of that tranche = (AUM achieved ÷ target) × 10%. Example: R45m of R50m (90%) → Simon vests 9%; the residual 1% remains with Davin.</w:t>
            </w:r>
          </w:p>
        </w:tc>
      </w:tr>
      <w:tr>
        <w:tc>
          <w:tcPr>
            <w:tcW w:type="dxa" w:w="2721"/>
            <w:shd w:val="clear" w:color="auto" w:fill="FFFFFF"/>
          </w:tcPr>
          <w:p>
            <w:r/>
            <w:r>
              <w:rPr>
                <w:b/>
                <w:i w:val="0"/>
                <w:color w:val="1A1A1A"/>
                <w:sz w:val="20"/>
              </w:rPr>
              <w:t>Step 3 — Lapse</w:t>
            </w:r>
          </w:p>
        </w:tc>
        <w:tc>
          <w:tcPr>
            <w:tcW w:type="dxa" w:w="6633"/>
            <w:shd w:val="clear" w:color="auto" w:fill="FFFFFF"/>
          </w:tcPr>
          <w:p>
            <w:pPr>
              <w:spacing w:before="20" w:after="40"/>
            </w:pPr>
            <w:r/>
            <w:r>
              <w:rPr>
                <w:color w:val="1A1A1A"/>
                <w:sz w:val="20"/>
              </w:rPr>
              <w:t>If AUM is below 80% of target at the end of the extension, the tranche lapses in full and the shares remain with Davin. Simon retains all previously-earned tranches and his founding 10%.</w:t>
            </w:r>
          </w:p>
        </w:tc>
      </w:tr>
    </w:tbl>
    <w:p>
      <w:pPr>
        <w:spacing w:after="80"/>
      </w:pPr>
    </w:p>
    <w:p>
      <w:r>
        <w:br w:type="page"/>
      </w:r>
    </w:p>
    <w:p>
      <w:pPr>
        <w:keepNext/>
        <w:spacing w:before="280" w:after="80"/>
      </w:pPr>
      <w:r>
        <w:rPr>
          <w:rFonts w:ascii="Calibri" w:hAnsi="Calibri"/>
          <w:b/>
          <w:color w:val="C9A227"/>
          <w:sz w:val="28"/>
        </w:rPr>
        <w:t>8.  NEW VENTURES &amp; INNOVATION REVENUE</w:t>
      </w:r>
    </w:p>
    <w:p>
      <w:pPr>
        <w:spacing w:before="40" w:after="120"/>
      </w:pPr>
      <w:r>
        <w:rPr>
          <w:b w:val="0"/>
          <w:i w:val="0"/>
          <w:color w:val="1A1A1A"/>
          <w:sz w:val="20"/>
        </w:rPr>
        <w:t>This clause addresses Simon's request for a revenue share on new products or ideas that generate new revenue. It balances (i) Davin's preference that genuinely new products are built in a separate company on fresh terms; (ii) fairness to Simon where he personally originates and runs a new, non-AUM revenue stream; and (iii) protection against Simon receiving extra revenue share on revenue generated by clients that Davin or others introduce.</w:t>
      </w:r>
    </w:p>
    <w:p>
      <w:pPr>
        <w:keepNext/>
        <w:spacing w:before="160" w:after="80"/>
      </w:pPr>
      <w:r>
        <w:rPr>
          <w:rFonts w:ascii="Calibri" w:hAnsi="Calibri"/>
          <w:b/>
          <w:color w:val="1A1A1A"/>
          <w:sz w:val="22"/>
        </w:rPr>
        <w:t>The core principle</w:t>
      </w:r>
    </w:p>
    <w:p>
      <w:pPr>
        <w:spacing w:before="40" w:after="120"/>
      </w:pPr>
      <w:r>
        <w:rPr>
          <w:b w:val="0"/>
          <w:i w:val="0"/>
          <w:color w:val="1A1A1A"/>
          <w:sz w:val="20"/>
        </w:rPr>
        <w:t>Simon is already a shareholder, so through dividends and equity value he already shares in ALL Company revenue — including AUM revenue from clients introduced by anyone. The framework therefore separates two different rewards: 'ownership reward' (his equity dividend) from 'origination reward' (a ring-fenced share of only the specific new stream he personally creates and runs). The ring-fence never touches AUM revenue.</w:t>
      </w:r>
    </w:p>
    <w:p>
      <w:pPr>
        <w:keepNext/>
        <w:spacing w:before="280" w:after="80"/>
      </w:pPr>
      <w:r>
        <w:rPr>
          <w:rFonts w:ascii="Calibri" w:hAnsi="Calibri"/>
          <w:b/>
          <w:color w:val="C9A227"/>
          <w:sz w:val="28"/>
        </w:rPr>
        <w:t>8.1  DEFAULT RULE — NEW VENTURES GO INTO A NEWCO</w:t>
      </w:r>
    </w:p>
    <w:tbl>
      <w:tblPr>
        <w:tblStyle w:val="TableGrid"/>
        <w:tblW w:type="auto" w:w="0"/>
        <w:jc w:val="left"/>
        <w:tblLook w:firstColumn="1" w:firstRow="1" w:lastColumn="0" w:lastRow="0" w:noHBand="0" w:noVBand="1" w:val="04A0"/>
      </w:tblPr>
      <w:tblGrid>
        <w:gridCol w:w="4816"/>
        <w:gridCol w:w="4816"/>
      </w:tblGrid>
      <w:tr>
        <w:tc>
          <w:tcPr>
            <w:tcW w:type="dxa" w:w="2721"/>
            <w:shd w:val="clear" w:color="auto" w:fill="F5F5F5"/>
          </w:tcPr>
          <w:p>
            <w:r/>
            <w:r>
              <w:rPr>
                <w:b/>
                <w:i w:val="0"/>
                <w:color w:val="1A1A1A"/>
                <w:sz w:val="20"/>
              </w:rPr>
              <w:t>Default rule</w:t>
            </w:r>
          </w:p>
        </w:tc>
        <w:tc>
          <w:tcPr>
            <w:tcW w:type="dxa" w:w="6633"/>
            <w:shd w:val="clear" w:color="auto" w:fill="F5F5F5"/>
          </w:tcPr>
          <w:p>
            <w:pPr>
              <w:spacing w:before="20" w:after="40"/>
            </w:pPr>
            <w:r/>
            <w:r>
              <w:rPr>
                <w:color w:val="1A1A1A"/>
                <w:sz w:val="20"/>
              </w:rPr>
              <w:t>Any materially new product, business line, or revenue stream that is separable from the core BitWealth AUM business is developed in a NEW company ('NewCo'), with a fresh shareholding structure negotiated specifically for that venture.</w:t>
            </w:r>
          </w:p>
        </w:tc>
      </w:tr>
      <w:tr>
        <w:tc>
          <w:tcPr>
            <w:tcW w:type="dxa" w:w="2721"/>
            <w:shd w:val="clear" w:color="auto" w:fill="FFFFFF"/>
          </w:tcPr>
          <w:p>
            <w:r/>
            <w:r>
              <w:rPr>
                <w:b/>
                <w:i w:val="0"/>
                <w:color w:val="1A1A1A"/>
                <w:sz w:val="20"/>
              </w:rPr>
              <w:t>No automatic entitlement</w:t>
            </w:r>
          </w:p>
        </w:tc>
        <w:tc>
          <w:tcPr>
            <w:tcW w:type="dxa" w:w="6633"/>
            <w:shd w:val="clear" w:color="auto" w:fill="FFFFFF"/>
          </w:tcPr>
          <w:p>
            <w:pPr>
              <w:spacing w:before="20" w:after="40"/>
            </w:pPr>
            <w:r/>
            <w:r>
              <w:rPr>
                <w:color w:val="1A1A1A"/>
                <w:sz w:val="20"/>
              </w:rPr>
              <w:t>Simon has NO automatic right to equity or revenue in any NewCo by virtue of his BitWealth shareholding. Each NewCo is negotiated on its own merits (who originates, funds, builds, runs).</w:t>
            </w:r>
          </w:p>
        </w:tc>
      </w:tr>
      <w:tr>
        <w:tc>
          <w:tcPr>
            <w:tcW w:type="dxa" w:w="2721"/>
            <w:shd w:val="clear" w:color="auto" w:fill="F5F5F5"/>
          </w:tcPr>
          <w:p>
            <w:r/>
            <w:r>
              <w:rPr>
                <w:b/>
                <w:i w:val="0"/>
                <w:color w:val="1A1A1A"/>
                <w:sz w:val="20"/>
              </w:rPr>
              <w:t>Right to negotiate</w:t>
            </w:r>
          </w:p>
        </w:tc>
        <w:tc>
          <w:tcPr>
            <w:tcW w:type="dxa" w:w="6633"/>
            <w:shd w:val="clear" w:color="auto" w:fill="F5F5F5"/>
          </w:tcPr>
          <w:p>
            <w:pPr>
              <w:spacing w:before="20" w:after="40"/>
            </w:pPr>
            <w:r/>
            <w:r>
              <w:rPr>
                <w:color w:val="1A1A1A"/>
                <w:sz w:val="20"/>
              </w:rPr>
              <w:t>Where Simon materially originates a NewCo concept, he has a good-faith right of first opportunity to negotiate participation — on fresh terms, not his BitWealth terms.</w:t>
            </w:r>
          </w:p>
        </w:tc>
      </w:tr>
      <w:tr>
        <w:tc>
          <w:tcPr>
            <w:tcW w:type="dxa" w:w="2721"/>
            <w:shd w:val="clear" w:color="auto" w:fill="FFFFFF"/>
          </w:tcPr>
          <w:p>
            <w:r/>
            <w:r>
              <w:rPr>
                <w:b/>
                <w:i w:val="0"/>
                <w:color w:val="1A1A1A"/>
                <w:sz w:val="20"/>
              </w:rPr>
              <w:t>Who decides</w:t>
            </w:r>
          </w:p>
        </w:tc>
        <w:tc>
          <w:tcPr>
            <w:tcW w:type="dxa" w:w="6633"/>
            <w:shd w:val="clear" w:color="auto" w:fill="FFFFFF"/>
          </w:tcPr>
          <w:p>
            <w:pPr>
              <w:spacing w:before="20" w:after="40"/>
            </w:pPr>
            <w:r/>
            <w:r>
              <w:rPr>
                <w:color w:val="1A1A1A"/>
                <w:sz w:val="20"/>
              </w:rPr>
              <w:t>The Board (with Davin's control vote) decides whether a new idea is pursued inside BitWealth or via a NewCo.</w:t>
            </w:r>
          </w:p>
        </w:tc>
      </w:tr>
    </w:tbl>
    <w:p>
      <w:pPr>
        <w:spacing w:after="80"/>
      </w:pPr>
    </w:p>
    <w:p>
      <w:pPr>
        <w:keepNext/>
        <w:spacing w:before="280" w:after="80"/>
      </w:pPr>
      <w:r>
        <w:rPr>
          <w:rFonts w:ascii="Calibri" w:hAnsi="Calibri"/>
          <w:b/>
          <w:color w:val="C9A227"/>
          <w:sz w:val="28"/>
        </w:rPr>
        <w:t>8.2  EXCEPTION — SIMON-ORIGINATED NON-AUM REVENUE KEPT INSIDE BITWEALTH</w:t>
      </w:r>
    </w:p>
    <w:tbl>
      <w:tblPr>
        <w:tblStyle w:val="TableGrid"/>
        <w:tblW w:type="auto" w:w="0"/>
        <w:jc w:val="left"/>
        <w:tblLook w:firstColumn="1" w:firstRow="1" w:lastColumn="0" w:lastRow="0" w:noHBand="0" w:noVBand="1" w:val="04A0"/>
      </w:tblPr>
      <w:tblGrid>
        <w:gridCol w:w="4816"/>
        <w:gridCol w:w="4816"/>
      </w:tblGrid>
      <w:tr>
        <w:tc>
          <w:tcPr>
            <w:tcW w:type="dxa" w:w="2721"/>
            <w:shd w:val="clear" w:color="auto" w:fill="F5F5F5"/>
          </w:tcPr>
          <w:p>
            <w:r/>
            <w:r>
              <w:rPr>
                <w:b/>
                <w:i w:val="0"/>
                <w:color w:val="1A1A1A"/>
                <w:sz w:val="20"/>
              </w:rPr>
              <w:t>When this applies</w:t>
            </w:r>
          </w:p>
        </w:tc>
        <w:tc>
          <w:tcPr>
            <w:tcW w:type="dxa" w:w="6633"/>
            <w:shd w:val="clear" w:color="auto" w:fill="F5F5F5"/>
          </w:tcPr>
          <w:p>
            <w:pPr>
              <w:spacing w:before="20" w:after="40"/>
            </w:pPr>
            <w:r/>
            <w:r>
              <w:rPr>
                <w:color w:val="1A1A1A"/>
                <w:sz w:val="20"/>
              </w:rPr>
              <w:t>Only where ALL of the following are true:</w:t>
            </w:r>
          </w:p>
          <w:p>
            <w:pPr>
              <w:spacing w:before="20" w:after="40"/>
            </w:pPr>
            <w:r>
              <w:rPr>
                <w:b/>
                <w:color w:val="1A1A1A"/>
                <w:sz w:val="20"/>
              </w:rPr>
              <w:t>(a) Simon personally originates a genuinely new, NON-AUM revenue stream (not performance, platform, or exchange fees on managed assets);</w:t>
            </w:r>
          </w:p>
          <w:p>
            <w:pPr>
              <w:spacing w:before="20" w:after="40"/>
            </w:pPr>
            <w:r>
              <w:rPr>
                <w:b/>
                <w:color w:val="1A1A1A"/>
                <w:sz w:val="20"/>
              </w:rPr>
              <w:t>(b) the Board decides to keep it inside BitWealth; and</w:t>
            </w:r>
          </w:p>
          <w:p>
            <w:pPr>
              <w:spacing w:before="20" w:after="40"/>
            </w:pPr>
            <w:r>
              <w:rPr>
                <w:b/>
                <w:color w:val="1A1A1A"/>
                <w:sz w:val="20"/>
              </w:rPr>
              <w:t>(c) Simon actively leads the delivery of that stream.</w:t>
            </w:r>
          </w:p>
        </w:tc>
      </w:tr>
      <w:tr>
        <w:tc>
          <w:tcPr>
            <w:tcW w:type="dxa" w:w="2721"/>
            <w:shd w:val="clear" w:color="auto" w:fill="FFFFFF"/>
          </w:tcPr>
          <w:p>
            <w:r/>
            <w:r>
              <w:rPr>
                <w:b/>
                <w:i w:val="0"/>
                <w:color w:val="1A1A1A"/>
                <w:sz w:val="20"/>
              </w:rPr>
              <w:t>Innovation Revenue Share</w:t>
            </w:r>
          </w:p>
        </w:tc>
        <w:tc>
          <w:tcPr>
            <w:tcW w:type="dxa" w:w="6633"/>
            <w:shd w:val="clear" w:color="auto" w:fill="FFFFFF"/>
          </w:tcPr>
          <w:p>
            <w:pPr>
              <w:spacing w:before="20" w:after="40"/>
            </w:pPr>
            <w:r/>
            <w:r>
              <w:rPr>
                <w:color w:val="1A1A1A"/>
                <w:sz w:val="20"/>
              </w:rPr>
              <w:t>Simon receives a ring-fenced share of the NET revenue of THAT specific stream only:</w:t>
            </w:r>
          </w:p>
          <w:p>
            <w:pPr>
              <w:spacing w:before="20" w:after="40"/>
            </w:pPr>
            <w:r>
              <w:rPr>
                <w:b/>
                <w:color w:val="1A1A1A"/>
                <w:sz w:val="20"/>
              </w:rPr>
              <w:t>(a) a negotiated rate (see options in 8.3) of net stream revenue;</w:t>
            </w:r>
          </w:p>
          <w:p>
            <w:pPr>
              <w:spacing w:before="20" w:after="40"/>
            </w:pPr>
            <w:r>
              <w:rPr>
                <w:b/>
                <w:color w:val="1A1A1A"/>
                <w:sz w:val="20"/>
              </w:rPr>
              <w:t>(b) for a fixed period (suggested 48 months from first revenue);</w:t>
            </w:r>
          </w:p>
          <w:p>
            <w:pPr>
              <w:spacing w:before="20" w:after="40"/>
            </w:pPr>
            <w:r>
              <w:rPr>
                <w:b/>
                <w:color w:val="1A1A1A"/>
                <w:sz w:val="20"/>
              </w:rPr>
              <w:t>(c) payable only while Simon actively leads the stream;</w:t>
            </w:r>
          </w:p>
          <w:p>
            <w:pPr>
              <w:spacing w:before="20" w:after="40"/>
            </w:pPr>
            <w:r>
              <w:rPr>
                <w:b/>
                <w:color w:val="1A1A1A"/>
                <w:sz w:val="20"/>
              </w:rPr>
              <w:t>(d) the stream is separately accounted so the ring-fence is auditable.</w:t>
            </w:r>
          </w:p>
        </w:tc>
      </w:tr>
      <w:tr>
        <w:tc>
          <w:tcPr>
            <w:tcW w:type="dxa" w:w="2721"/>
            <w:shd w:val="clear" w:color="auto" w:fill="F5F5F5"/>
          </w:tcPr>
          <w:p>
            <w:r/>
            <w:r>
              <w:rPr>
                <w:b/>
                <w:i w:val="0"/>
                <w:color w:val="1A1A1A"/>
                <w:sz w:val="20"/>
              </w:rPr>
              <w:t>Ring-fence — key protection</w:t>
            </w:r>
          </w:p>
        </w:tc>
        <w:tc>
          <w:tcPr>
            <w:tcW w:type="dxa" w:w="6633"/>
            <w:shd w:val="clear" w:color="auto" w:fill="F5F5F5"/>
          </w:tcPr>
          <w:p>
            <w:pPr>
              <w:spacing w:before="20" w:after="40"/>
            </w:pPr>
            <w:r/>
            <w:r>
              <w:rPr>
                <w:color w:val="1A1A1A"/>
                <w:sz w:val="20"/>
              </w:rPr>
              <w:t>The Innovation Revenue Share attaches ONLY to the new non-AUM stream Simon creates. It NEVER touches AUM-based revenue (performance, platform, or exchange fees) from any client — including clients Davin or others introduce.</w:t>
            </w:r>
          </w:p>
        </w:tc>
      </w:tr>
      <w:tr>
        <w:tc>
          <w:tcPr>
            <w:tcW w:type="dxa" w:w="2721"/>
            <w:shd w:val="clear" w:color="auto" w:fill="FFFFFF"/>
          </w:tcPr>
          <w:p>
            <w:r/>
            <w:r>
              <w:rPr>
                <w:b/>
                <w:i w:val="0"/>
                <w:color w:val="1A1A1A"/>
                <w:sz w:val="20"/>
              </w:rPr>
              <w:t>IP ownership</w:t>
            </w:r>
          </w:p>
        </w:tc>
        <w:tc>
          <w:tcPr>
            <w:tcW w:type="dxa" w:w="6633"/>
            <w:shd w:val="clear" w:color="auto" w:fill="FFFFFF"/>
          </w:tcPr>
          <w:p>
            <w:pPr>
              <w:spacing w:before="20" w:after="40"/>
            </w:pPr>
            <w:r/>
            <w:r>
              <w:rPr>
                <w:color w:val="1A1A1A"/>
                <w:sz w:val="20"/>
              </w:rPr>
              <w:t>All IP in the new stream vests in the Company (or NewCo), not in Simon personally, regardless of the revenue share.</w:t>
            </w:r>
          </w:p>
        </w:tc>
      </w:tr>
      <w:tr>
        <w:tc>
          <w:tcPr>
            <w:tcW w:type="dxa" w:w="2721"/>
            <w:shd w:val="clear" w:color="auto" w:fill="F5F5F5"/>
          </w:tcPr>
          <w:p>
            <w:r/>
            <w:r>
              <w:rPr>
                <w:b/>
                <w:i w:val="0"/>
                <w:color w:val="1A1A1A"/>
                <w:sz w:val="20"/>
              </w:rPr>
              <w:t>Exclusions</w:t>
            </w:r>
          </w:p>
        </w:tc>
        <w:tc>
          <w:tcPr>
            <w:tcW w:type="dxa" w:w="6633"/>
            <w:shd w:val="clear" w:color="auto" w:fill="F5F5F5"/>
          </w:tcPr>
          <w:p>
            <w:pPr>
              <w:spacing w:before="20" w:after="40"/>
            </w:pPr>
            <w:r/>
            <w:r>
              <w:rPr>
                <w:color w:val="1A1A1A"/>
                <w:sz w:val="20"/>
              </w:rPr>
              <w:t>Does NOT apply to enhancements or extensions of the core AUM business (new client tiers, pricing changes, new asset pairs) — those are core revenue in which Simon already shares as a shareholder.</w:t>
            </w:r>
          </w:p>
        </w:tc>
      </w:tr>
    </w:tbl>
    <w:p>
      <w:pPr>
        <w:spacing w:after="80"/>
      </w:pPr>
    </w:p>
    <w:p>
      <w:pPr>
        <w:keepNext/>
        <w:spacing w:before="160" w:after="80"/>
      </w:pPr>
      <w:r>
        <w:rPr>
          <w:rFonts w:ascii="Calibri" w:hAnsi="Calibri"/>
          <w:b/>
          <w:color w:val="1A1A1A"/>
          <w:sz w:val="22"/>
        </w:rPr>
        <w:t>8.3  Does Simon get the ring-fenced share PLUS his equity dividend? — Yes, and here is why it matters</w:t>
      </w:r>
    </w:p>
    <w:p>
      <w:pPr>
        <w:spacing w:before="40" w:after="80"/>
      </w:pPr>
      <w:r>
        <w:rPr>
          <w:b w:val="0"/>
          <w:i w:val="0"/>
          <w:color w:val="1A1A1A"/>
          <w:sz w:val="20"/>
        </w:rPr>
        <w:t>This is the key question. If the new stream is kept INSIDE BitWealth, then under the drafted approach Simon receives BOTH: (1) the ring-fenced Innovation Revenue Share off the top, AND (2) his normal equity-based dividend share of whatever profit remains after that. The two stack, because the residual profit of the stream is ordinary Company profit that flows to all shareholders by their equity %.</w:t>
      </w:r>
    </w:p>
    <w:p>
      <w:pPr>
        <w:spacing w:before="40" w:after="80"/>
      </w:pPr>
      <w:r>
        <w:rPr>
          <w:b/>
          <w:i w:val="0"/>
          <w:color w:val="1A1A1A"/>
          <w:sz w:val="20"/>
        </w:rPr>
        <w:t>Worked example. Assume the new stream produces R1,000,000 net revenue in a year, Simon holds 40% equity (full earn-in), a 15% Innovation Revenue Share, and no other costs, all residual profit distributed as dividends:</w:t>
      </w:r>
    </w:p>
    <w:tbl>
      <w:tblPr>
        <w:tblStyle w:val="TableGrid"/>
        <w:tblW w:type="auto" w:w="0"/>
        <w:jc w:val="center"/>
        <w:tblLook w:firstColumn="1" w:firstRow="1" w:lastColumn="0" w:lastRow="0" w:noHBand="0" w:noVBand="1" w:val="04A0"/>
      </w:tblPr>
      <w:tblGrid>
        <w:gridCol w:w="1926"/>
        <w:gridCol w:w="1926"/>
        <w:gridCol w:w="1926"/>
        <w:gridCol w:w="1926"/>
        <w:gridCol w:w="1926"/>
      </w:tblGrid>
      <w:tr>
        <w:tc>
          <w:tcPr>
            <w:tcW w:type="dxa" w:w="1474"/>
            <w:shd w:val="clear" w:color="auto" w:fill="006064"/>
          </w:tcPr>
          <w:p>
            <w:pPr>
              <w:jc w:val="center"/>
            </w:pPr>
            <w:r/>
            <w:r>
              <w:rPr>
                <w:b/>
                <w:i w:val="0"/>
                <w:color w:val="FFFFFF"/>
                <w:sz w:val="17"/>
              </w:rPr>
              <w:t>Simon's equity</w:t>
            </w:r>
          </w:p>
        </w:tc>
        <w:tc>
          <w:tcPr>
            <w:tcW w:type="dxa" w:w="1814"/>
            <w:shd w:val="clear" w:color="auto" w:fill="006064"/>
          </w:tcPr>
          <w:p>
            <w:pPr>
              <w:jc w:val="center"/>
            </w:pPr>
            <w:r/>
            <w:r>
              <w:rPr>
                <w:b/>
                <w:i w:val="0"/>
                <w:color w:val="FFFFFF"/>
                <w:sz w:val="17"/>
              </w:rPr>
              <w:t>Innovation share (15%)</w:t>
            </w:r>
          </w:p>
        </w:tc>
        <w:tc>
          <w:tcPr>
            <w:tcW w:type="dxa" w:w="2041"/>
            <w:shd w:val="clear" w:color="auto" w:fill="006064"/>
          </w:tcPr>
          <w:p>
            <w:pPr>
              <w:jc w:val="center"/>
            </w:pPr>
            <w:r/>
            <w:r>
              <w:rPr>
                <w:b/>
                <w:i w:val="0"/>
                <w:color w:val="FFFFFF"/>
                <w:sz w:val="17"/>
              </w:rPr>
              <w:t>Equity share of residual 85%</w:t>
            </w:r>
          </w:p>
        </w:tc>
        <w:tc>
          <w:tcPr>
            <w:tcW w:type="dxa" w:w="1928"/>
            <w:shd w:val="clear" w:color="auto" w:fill="006064"/>
          </w:tcPr>
          <w:p>
            <w:pPr>
              <w:jc w:val="center"/>
            </w:pPr>
            <w:r/>
            <w:r>
              <w:rPr>
                <w:b/>
                <w:i w:val="0"/>
                <w:color w:val="FFFFFF"/>
                <w:sz w:val="17"/>
              </w:rPr>
              <w:t>Simon's total from stream</w:t>
            </w:r>
          </w:p>
        </w:tc>
        <w:tc>
          <w:tcPr>
            <w:tcW w:type="dxa" w:w="1247"/>
            <w:shd w:val="clear" w:color="auto" w:fill="006064"/>
          </w:tcPr>
          <w:p>
            <w:pPr>
              <w:jc w:val="center"/>
            </w:pPr>
            <w:r/>
            <w:r>
              <w:rPr>
                <w:b/>
                <w:i w:val="0"/>
                <w:color w:val="FFFFFF"/>
                <w:sz w:val="17"/>
              </w:rPr>
              <w:t>Effective %</w:t>
            </w:r>
          </w:p>
        </w:tc>
      </w:tr>
      <w:tr>
        <w:tc>
          <w:tcPr>
            <w:tcW w:type="dxa" w:w="1474"/>
            <w:shd w:val="clear" w:color="auto" w:fill="FFFFFF"/>
          </w:tcPr>
          <w:p>
            <w:pPr>
              <w:jc w:val="center"/>
            </w:pPr>
            <w:r/>
            <w:r>
              <w:rPr>
                <w:b w:val="0"/>
                <w:i w:val="0"/>
                <w:color w:val="1A1A1A"/>
                <w:sz w:val="18"/>
              </w:rPr>
              <w:t>10%</w:t>
            </w:r>
          </w:p>
        </w:tc>
        <w:tc>
          <w:tcPr>
            <w:tcW w:type="dxa" w:w="1814"/>
            <w:shd w:val="clear" w:color="auto" w:fill="FFFFFF"/>
          </w:tcPr>
          <w:p>
            <w:pPr>
              <w:jc w:val="center"/>
            </w:pPr>
            <w:r/>
            <w:r>
              <w:rPr>
                <w:b w:val="0"/>
                <w:i w:val="0"/>
                <w:color w:val="1A1A1A"/>
                <w:sz w:val="18"/>
              </w:rPr>
              <w:t>R150,000</w:t>
            </w:r>
          </w:p>
        </w:tc>
        <w:tc>
          <w:tcPr>
            <w:tcW w:type="dxa" w:w="2041"/>
            <w:shd w:val="clear" w:color="auto" w:fill="FFFFFF"/>
          </w:tcPr>
          <w:p>
            <w:pPr>
              <w:jc w:val="center"/>
            </w:pPr>
            <w:r/>
            <w:r>
              <w:rPr>
                <w:b w:val="0"/>
                <w:i w:val="0"/>
                <w:color w:val="1A1A1A"/>
                <w:sz w:val="18"/>
              </w:rPr>
              <w:t>R85,000</w:t>
            </w:r>
          </w:p>
        </w:tc>
        <w:tc>
          <w:tcPr>
            <w:tcW w:type="dxa" w:w="1928"/>
            <w:shd w:val="clear" w:color="auto" w:fill="FFFFFF"/>
          </w:tcPr>
          <w:p>
            <w:pPr>
              <w:jc w:val="center"/>
            </w:pPr>
            <w:r/>
            <w:r>
              <w:rPr>
                <w:b/>
                <w:i w:val="0"/>
                <w:color w:val="1A1A1A"/>
                <w:sz w:val="18"/>
              </w:rPr>
              <w:t>R235,000</w:t>
            </w:r>
          </w:p>
        </w:tc>
        <w:tc>
          <w:tcPr>
            <w:tcW w:type="dxa" w:w="1247"/>
            <w:shd w:val="clear" w:color="auto" w:fill="FFFFFF"/>
          </w:tcPr>
          <w:p>
            <w:pPr>
              <w:jc w:val="center"/>
            </w:pPr>
            <w:r/>
            <w:r>
              <w:rPr>
                <w:b/>
                <w:i w:val="0"/>
                <w:color w:val="1A1A1A"/>
                <w:sz w:val="18"/>
              </w:rPr>
              <w:t>23.5%</w:t>
            </w:r>
          </w:p>
        </w:tc>
      </w:tr>
      <w:tr>
        <w:tc>
          <w:tcPr>
            <w:tcW w:type="dxa" w:w="1474"/>
            <w:shd w:val="clear" w:color="auto" w:fill="F5F5F5"/>
          </w:tcPr>
          <w:p>
            <w:pPr>
              <w:jc w:val="center"/>
            </w:pPr>
            <w:r/>
            <w:r>
              <w:rPr>
                <w:b w:val="0"/>
                <w:i w:val="0"/>
                <w:color w:val="1A1A1A"/>
                <w:sz w:val="18"/>
              </w:rPr>
              <w:t>20%</w:t>
            </w:r>
          </w:p>
        </w:tc>
        <w:tc>
          <w:tcPr>
            <w:tcW w:type="dxa" w:w="1814"/>
            <w:shd w:val="clear" w:color="auto" w:fill="F5F5F5"/>
          </w:tcPr>
          <w:p>
            <w:pPr>
              <w:jc w:val="center"/>
            </w:pPr>
            <w:r/>
            <w:r>
              <w:rPr>
                <w:b w:val="0"/>
                <w:i w:val="0"/>
                <w:color w:val="1A1A1A"/>
                <w:sz w:val="18"/>
              </w:rPr>
              <w:t>R150,000</w:t>
            </w:r>
          </w:p>
        </w:tc>
        <w:tc>
          <w:tcPr>
            <w:tcW w:type="dxa" w:w="2041"/>
            <w:shd w:val="clear" w:color="auto" w:fill="F5F5F5"/>
          </w:tcPr>
          <w:p>
            <w:pPr>
              <w:jc w:val="center"/>
            </w:pPr>
            <w:r/>
            <w:r>
              <w:rPr>
                <w:b w:val="0"/>
                <w:i w:val="0"/>
                <w:color w:val="1A1A1A"/>
                <w:sz w:val="18"/>
              </w:rPr>
              <w:t>R170,000</w:t>
            </w:r>
          </w:p>
        </w:tc>
        <w:tc>
          <w:tcPr>
            <w:tcW w:type="dxa" w:w="1928"/>
            <w:shd w:val="clear" w:color="auto" w:fill="F5F5F5"/>
          </w:tcPr>
          <w:p>
            <w:pPr>
              <w:jc w:val="center"/>
            </w:pPr>
            <w:r/>
            <w:r>
              <w:rPr>
                <w:b/>
                <w:i w:val="0"/>
                <w:color w:val="1A1A1A"/>
                <w:sz w:val="18"/>
              </w:rPr>
              <w:t>R320,000</w:t>
            </w:r>
          </w:p>
        </w:tc>
        <w:tc>
          <w:tcPr>
            <w:tcW w:type="dxa" w:w="1247"/>
            <w:shd w:val="clear" w:color="auto" w:fill="F5F5F5"/>
          </w:tcPr>
          <w:p>
            <w:pPr>
              <w:jc w:val="center"/>
            </w:pPr>
            <w:r/>
            <w:r>
              <w:rPr>
                <w:b/>
                <w:i w:val="0"/>
                <w:color w:val="1A1A1A"/>
                <w:sz w:val="18"/>
              </w:rPr>
              <w:t>32.0%</w:t>
            </w:r>
          </w:p>
        </w:tc>
      </w:tr>
      <w:tr>
        <w:tc>
          <w:tcPr>
            <w:tcW w:type="dxa" w:w="1474"/>
            <w:shd w:val="clear" w:color="auto" w:fill="FFFFFF"/>
          </w:tcPr>
          <w:p>
            <w:pPr>
              <w:jc w:val="center"/>
            </w:pPr>
            <w:r/>
            <w:r>
              <w:rPr>
                <w:b w:val="0"/>
                <w:i w:val="0"/>
                <w:color w:val="1A1A1A"/>
                <w:sz w:val="18"/>
              </w:rPr>
              <w:t>30%</w:t>
            </w:r>
          </w:p>
        </w:tc>
        <w:tc>
          <w:tcPr>
            <w:tcW w:type="dxa" w:w="1814"/>
            <w:shd w:val="clear" w:color="auto" w:fill="FFFFFF"/>
          </w:tcPr>
          <w:p>
            <w:pPr>
              <w:jc w:val="center"/>
            </w:pPr>
            <w:r/>
            <w:r>
              <w:rPr>
                <w:b w:val="0"/>
                <w:i w:val="0"/>
                <w:color w:val="1A1A1A"/>
                <w:sz w:val="18"/>
              </w:rPr>
              <w:t>R150,000</w:t>
            </w:r>
          </w:p>
        </w:tc>
        <w:tc>
          <w:tcPr>
            <w:tcW w:type="dxa" w:w="2041"/>
            <w:shd w:val="clear" w:color="auto" w:fill="FFFFFF"/>
          </w:tcPr>
          <w:p>
            <w:pPr>
              <w:jc w:val="center"/>
            </w:pPr>
            <w:r/>
            <w:r>
              <w:rPr>
                <w:b w:val="0"/>
                <w:i w:val="0"/>
                <w:color w:val="1A1A1A"/>
                <w:sz w:val="18"/>
              </w:rPr>
              <w:t>R255,000</w:t>
            </w:r>
          </w:p>
        </w:tc>
        <w:tc>
          <w:tcPr>
            <w:tcW w:type="dxa" w:w="1928"/>
            <w:shd w:val="clear" w:color="auto" w:fill="FFFFFF"/>
          </w:tcPr>
          <w:p>
            <w:pPr>
              <w:jc w:val="center"/>
            </w:pPr>
            <w:r/>
            <w:r>
              <w:rPr>
                <w:b/>
                <w:i w:val="0"/>
                <w:color w:val="1A1A1A"/>
                <w:sz w:val="18"/>
              </w:rPr>
              <w:t>R405,000</w:t>
            </w:r>
          </w:p>
        </w:tc>
        <w:tc>
          <w:tcPr>
            <w:tcW w:type="dxa" w:w="1247"/>
            <w:shd w:val="clear" w:color="auto" w:fill="FFFFFF"/>
          </w:tcPr>
          <w:p>
            <w:pPr>
              <w:jc w:val="center"/>
            </w:pPr>
            <w:r/>
            <w:r>
              <w:rPr>
                <w:b/>
                <w:i w:val="0"/>
                <w:color w:val="1A1A1A"/>
                <w:sz w:val="18"/>
              </w:rPr>
              <w:t>40.5%</w:t>
            </w:r>
          </w:p>
        </w:tc>
      </w:tr>
      <w:tr>
        <w:tc>
          <w:tcPr>
            <w:tcW w:type="dxa" w:w="1474"/>
            <w:shd w:val="clear" w:color="auto" w:fill="F5EBC8"/>
          </w:tcPr>
          <w:p>
            <w:pPr>
              <w:jc w:val="center"/>
            </w:pPr>
            <w:r/>
            <w:r>
              <w:rPr>
                <w:b w:val="0"/>
                <w:i w:val="0"/>
                <w:color w:val="1A1A1A"/>
                <w:sz w:val="18"/>
              </w:rPr>
              <w:t>40%</w:t>
            </w:r>
          </w:p>
        </w:tc>
        <w:tc>
          <w:tcPr>
            <w:tcW w:type="dxa" w:w="1814"/>
            <w:shd w:val="clear" w:color="auto" w:fill="F5EBC8"/>
          </w:tcPr>
          <w:p>
            <w:pPr>
              <w:jc w:val="center"/>
            </w:pPr>
            <w:r/>
            <w:r>
              <w:rPr>
                <w:b w:val="0"/>
                <w:i w:val="0"/>
                <w:color w:val="1A1A1A"/>
                <w:sz w:val="18"/>
              </w:rPr>
              <w:t>R150,000</w:t>
            </w:r>
          </w:p>
        </w:tc>
        <w:tc>
          <w:tcPr>
            <w:tcW w:type="dxa" w:w="2041"/>
            <w:shd w:val="clear" w:color="auto" w:fill="F5EBC8"/>
          </w:tcPr>
          <w:p>
            <w:pPr>
              <w:jc w:val="center"/>
            </w:pPr>
            <w:r/>
            <w:r>
              <w:rPr>
                <w:b w:val="0"/>
                <w:i w:val="0"/>
                <w:color w:val="1A1A1A"/>
                <w:sz w:val="18"/>
              </w:rPr>
              <w:t>R340,000</w:t>
            </w:r>
          </w:p>
        </w:tc>
        <w:tc>
          <w:tcPr>
            <w:tcW w:type="dxa" w:w="1928"/>
            <w:shd w:val="clear" w:color="auto" w:fill="F5EBC8"/>
          </w:tcPr>
          <w:p>
            <w:pPr>
              <w:jc w:val="center"/>
            </w:pPr>
            <w:r/>
            <w:r>
              <w:rPr>
                <w:b/>
                <w:i w:val="0"/>
                <w:color w:val="1A1A1A"/>
                <w:sz w:val="18"/>
              </w:rPr>
              <w:t>R490,000</w:t>
            </w:r>
          </w:p>
        </w:tc>
        <w:tc>
          <w:tcPr>
            <w:tcW w:type="dxa" w:w="1247"/>
            <w:shd w:val="clear" w:color="auto" w:fill="F5EBC8"/>
          </w:tcPr>
          <w:p>
            <w:pPr>
              <w:jc w:val="center"/>
            </w:pPr>
            <w:r/>
            <w:r>
              <w:rPr>
                <w:b/>
                <w:i w:val="0"/>
                <w:color w:val="1A1A1A"/>
                <w:sz w:val="18"/>
              </w:rPr>
              <w:t>49.0%</w:t>
            </w:r>
          </w:p>
        </w:tc>
      </w:tr>
    </w:tbl>
    <w:p>
      <w:pPr>
        <w:spacing w:before="40" w:after="80"/>
      </w:pPr>
      <w:r>
        <w:rPr>
          <w:b w:val="0"/>
          <w:i/>
          <w:color w:val="555555"/>
          <w:sz w:val="18"/>
        </w:rPr>
        <w:t>Reading the last row: at 40% equity, Simon receives R150,000 (the 15% innovation share) PLUS R340,000 (his 40% equity share of the remaining R850,000) = R490,000, or 49% of the whole R1,000,000 stream. Davin receives the other R510,000 (51%). The formula is: Simon's effective share = innovation% + equity% × (1 − innovation%).</w:t>
      </w:r>
    </w:p>
    <w:p>
      <w:pPr>
        <w:spacing w:before="40" w:after="80"/>
      </w:pPr>
      <w:r>
        <w:rPr>
          <w:b/>
          <w:i w:val="0"/>
          <w:color w:val="1A1A1A"/>
          <w:sz w:val="20"/>
        </w:rPr>
        <w:t>Three ways to structure this — choose one when negotiating:</w:t>
      </w:r>
    </w:p>
    <w:p>
      <w:pPr>
        <w:keepNext/>
        <w:spacing w:before="280" w:after="80"/>
      </w:pPr>
      <w:r>
        <w:rPr>
          <w:rFonts w:ascii="Calibri" w:hAnsi="Calibri"/>
          <w:b/>
          <w:color w:val="C9A227"/>
          <w:sz w:val="28"/>
        </w:rPr>
        <w:t>8.4  STRUCTURAL OPTIONS FOR THE INSIDE-BITWEALTH CASE</w:t>
      </w:r>
    </w:p>
    <w:tbl>
      <w:tblPr>
        <w:tblStyle w:val="TableGrid"/>
        <w:tblW w:type="auto" w:w="0"/>
        <w:jc w:val="left"/>
        <w:tblLook w:firstColumn="1" w:firstRow="1" w:lastColumn="0" w:lastRow="0" w:noHBand="0" w:noVBand="1" w:val="04A0"/>
      </w:tblPr>
      <w:tblGrid>
        <w:gridCol w:w="4816"/>
        <w:gridCol w:w="4816"/>
      </w:tblGrid>
      <w:tr>
        <w:tc>
          <w:tcPr>
            <w:tcW w:type="dxa" w:w="2721"/>
            <w:shd w:val="clear" w:color="auto" w:fill="F5F5F5"/>
          </w:tcPr>
          <w:p>
            <w:r/>
            <w:r>
              <w:rPr>
                <w:b/>
                <w:i w:val="0"/>
                <w:color w:val="1A1A1A"/>
                <w:sz w:val="20"/>
              </w:rPr>
              <w:t>Structure A — Stacked (as illustrated above)</w:t>
            </w:r>
          </w:p>
        </w:tc>
        <w:tc>
          <w:tcPr>
            <w:tcW w:type="dxa" w:w="6633"/>
            <w:shd w:val="clear" w:color="auto" w:fill="F5F5F5"/>
          </w:tcPr>
          <w:p>
            <w:pPr>
              <w:spacing w:before="20" w:after="40"/>
            </w:pPr>
            <w:r/>
            <w:r>
              <w:rPr>
                <w:color w:val="1A1A1A"/>
                <w:sz w:val="20"/>
              </w:rPr>
              <w:t>Simon gets the 15% innovation share PLUS equity dividend on the residual. His effective share of the stream rises with his equity (23.5% at 10% → 49% at 40%).</w:t>
            </w:r>
          </w:p>
          <w:p>
            <w:pPr>
              <w:spacing w:before="20" w:after="40"/>
            </w:pPr>
            <w:r>
              <w:rPr>
                <w:b/>
                <w:color w:val="1A1A1A"/>
                <w:sz w:val="20"/>
              </w:rPr>
              <w:t>ADVANTAGE: simple; strongly rewards Simon's origination and effort.</w:t>
            </w:r>
          </w:p>
          <w:p>
            <w:pPr>
              <w:spacing w:before="20" w:after="40"/>
            </w:pPr>
            <w:r>
              <w:rPr>
                <w:b/>
                <w:color w:val="1A1A1A"/>
                <w:sz w:val="20"/>
              </w:rPr>
              <w:t>DISADVANTAGE: Simon captures more than his equity % of that stream; most generous to Simon.</w:t>
            </w:r>
          </w:p>
        </w:tc>
      </w:tr>
      <w:tr>
        <w:tc>
          <w:tcPr>
            <w:tcW w:type="dxa" w:w="2721"/>
            <w:shd w:val="clear" w:color="auto" w:fill="FFFFFF"/>
          </w:tcPr>
          <w:p>
            <w:r/>
            <w:r>
              <w:rPr>
                <w:b/>
                <w:i w:val="0"/>
                <w:color w:val="1A1A1A"/>
                <w:sz w:val="20"/>
              </w:rPr>
              <w:t>Structure B — Lower rate, eyes open</w:t>
            </w:r>
          </w:p>
        </w:tc>
        <w:tc>
          <w:tcPr>
            <w:tcW w:type="dxa" w:w="6633"/>
            <w:shd w:val="clear" w:color="auto" w:fill="FFFFFF"/>
          </w:tcPr>
          <w:p>
            <w:pPr>
              <w:spacing w:before="20" w:after="40"/>
            </w:pPr>
            <w:r/>
            <w:r>
              <w:rPr>
                <w:color w:val="1A1A1A"/>
                <w:sz w:val="20"/>
              </w:rPr>
              <w:t>Keep stacking but set a LOWER innovation rate (e.g., 5–10%) precisely because Simon also enjoys equity upside. At 10% equity + 5% innovation, effective share ≈ 14.5%; at 40% equity + 5% innovation ≈ 43%.</w:t>
            </w:r>
          </w:p>
          <w:p>
            <w:pPr>
              <w:spacing w:before="20" w:after="40"/>
            </w:pPr>
            <w:r>
              <w:rPr>
                <w:b/>
                <w:color w:val="1A1A1A"/>
                <w:sz w:val="20"/>
              </w:rPr>
              <w:t>ADVANTAGE: keeps Simon closer to his equity %; still rewards origination.</w:t>
            </w:r>
          </w:p>
          <w:p>
            <w:pPr>
              <w:spacing w:before="20" w:after="40"/>
            </w:pPr>
            <w:r>
              <w:rPr>
                <w:b/>
                <w:color w:val="1A1A1A"/>
                <w:sz w:val="20"/>
              </w:rPr>
              <w:t>DISADVANTAGE: less upside for Simon; still stacks.</w:t>
            </w:r>
          </w:p>
        </w:tc>
      </w:tr>
      <w:tr>
        <w:tc>
          <w:tcPr>
            <w:tcW w:type="dxa" w:w="2721"/>
            <w:shd w:val="clear" w:color="auto" w:fill="F5F5F5"/>
          </w:tcPr>
          <w:p>
            <w:r/>
            <w:r>
              <w:rPr>
                <w:b/>
                <w:i w:val="0"/>
                <w:color w:val="1A1A1A"/>
                <w:sz w:val="20"/>
              </w:rPr>
              <w:t>Structure C — NewCo (Davin's default preference)</w:t>
            </w:r>
          </w:p>
        </w:tc>
        <w:tc>
          <w:tcPr>
            <w:tcW w:type="dxa" w:w="6633"/>
            <w:shd w:val="clear" w:color="auto" w:fill="F5F5F5"/>
          </w:tcPr>
          <w:p>
            <w:pPr>
              <w:spacing w:before="20" w:after="40"/>
            </w:pPr>
            <w:r/>
            <w:r>
              <w:rPr>
                <w:color w:val="1A1A1A"/>
                <w:sz w:val="20"/>
              </w:rPr>
              <w:t>Put the new stream in a NewCo and negotiate a single, clean split (e.g., Simon 50% / Davin 50%) that IS his whole entitlement. No stacking, no ring-fence accounting.</w:t>
            </w:r>
          </w:p>
          <w:p>
            <w:pPr>
              <w:spacing w:before="20" w:after="40"/>
            </w:pPr>
            <w:r>
              <w:rPr>
                <w:b/>
                <w:color w:val="1A1A1A"/>
                <w:sz w:val="20"/>
              </w:rPr>
              <w:t>ADVANTAGE: cleanest; avoids all double-benefit ambiguity; each venture stands alone.</w:t>
            </w:r>
          </w:p>
          <w:p>
            <w:pPr>
              <w:spacing w:before="20" w:after="40"/>
            </w:pPr>
            <w:r>
              <w:rPr>
                <w:b/>
                <w:color w:val="1A1A1A"/>
                <w:sz w:val="20"/>
              </w:rPr>
              <w:t>DISADVANTAGE: administrative cost of a second company.</w:t>
            </w:r>
          </w:p>
        </w:tc>
      </w:tr>
      <w:tr>
        <w:tc>
          <w:tcPr>
            <w:tcW w:type="dxa" w:w="2721"/>
            <w:shd w:val="clear" w:color="auto" w:fill="FFFFFF"/>
          </w:tcPr>
          <w:p>
            <w:r/>
            <w:r>
              <w:rPr>
                <w:b/>
                <w:i w:val="0"/>
                <w:color w:val="1A1A1A"/>
                <w:sz w:val="20"/>
              </w:rPr>
              <w:t>Recommended</w:t>
            </w:r>
          </w:p>
        </w:tc>
        <w:tc>
          <w:tcPr>
            <w:tcW w:type="dxa" w:w="6633"/>
            <w:shd w:val="clear" w:color="auto" w:fill="FFFFFF"/>
          </w:tcPr>
          <w:p>
            <w:pPr>
              <w:spacing w:before="20" w:after="40"/>
            </w:pPr>
            <w:r/>
            <w:r>
              <w:rPr>
                <w:color w:val="1A1A1A"/>
                <w:sz w:val="20"/>
              </w:rPr>
              <w:t>Default to Structure C (NewCo) for anything separable. If a non-AUM stream must live inside BitWealth, use Structure B (a modest 5–10% innovation rate) and negotiate with full awareness that it stacks on Simon's equity dividend.</w:t>
            </w:r>
          </w:p>
        </w:tc>
      </w:tr>
    </w:tbl>
    <w:p>
      <w:pPr>
        <w:spacing w:after="80"/>
      </w:pPr>
    </w:p>
    <w:p>
      <w:pPr>
        <w:keepNext/>
        <w:spacing w:before="280" w:after="80"/>
      </w:pPr>
      <w:r>
        <w:rPr>
          <w:rFonts w:ascii="Calibri" w:hAnsi="Calibri"/>
          <w:b/>
          <w:color w:val="C9A227"/>
          <w:sz w:val="28"/>
        </w:rPr>
        <w:t>8.5  RECIPROCITY &amp; ANTI-CIRCUMVENTION</w:t>
      </w:r>
    </w:p>
    <w:tbl>
      <w:tblPr>
        <w:tblStyle w:val="TableGrid"/>
        <w:tblW w:type="auto" w:w="0"/>
        <w:jc w:val="left"/>
        <w:tblLook w:firstColumn="1" w:firstRow="1" w:lastColumn="0" w:lastRow="0" w:noHBand="0" w:noVBand="1" w:val="04A0"/>
      </w:tblPr>
      <w:tblGrid>
        <w:gridCol w:w="4816"/>
        <w:gridCol w:w="4816"/>
      </w:tblGrid>
      <w:tr>
        <w:tc>
          <w:tcPr>
            <w:tcW w:type="dxa" w:w="2721"/>
            <w:shd w:val="clear" w:color="auto" w:fill="F5F5F5"/>
          </w:tcPr>
          <w:p>
            <w:r/>
            <w:r>
              <w:rPr>
                <w:b/>
                <w:i w:val="0"/>
                <w:color w:val="1A1A1A"/>
                <w:sz w:val="20"/>
              </w:rPr>
              <w:t>Reciprocal</w:t>
            </w:r>
          </w:p>
        </w:tc>
        <w:tc>
          <w:tcPr>
            <w:tcW w:type="dxa" w:w="6633"/>
            <w:shd w:val="clear" w:color="auto" w:fill="F5F5F5"/>
          </w:tcPr>
          <w:p>
            <w:pPr>
              <w:spacing w:before="20" w:after="40"/>
            </w:pPr>
            <w:r/>
            <w:r>
              <w:rPr>
                <w:color w:val="1A1A1A"/>
                <w:sz w:val="20"/>
              </w:rPr>
              <w:t>The same framework applies to Davin- or third-party-originated ventures: Simon has no revenue-share claim over a non-AUM stream he did not originate and does not lead.</w:t>
            </w:r>
          </w:p>
        </w:tc>
      </w:tr>
      <w:tr>
        <w:tc>
          <w:tcPr>
            <w:tcW w:type="dxa" w:w="2721"/>
            <w:shd w:val="clear" w:color="auto" w:fill="FFFFFF"/>
          </w:tcPr>
          <w:p>
            <w:r/>
            <w:r>
              <w:rPr>
                <w:b/>
                <w:i w:val="0"/>
                <w:color w:val="1A1A1A"/>
                <w:sz w:val="20"/>
              </w:rPr>
              <w:t>Anti-circumvention</w:t>
            </w:r>
          </w:p>
        </w:tc>
        <w:tc>
          <w:tcPr>
            <w:tcW w:type="dxa" w:w="6633"/>
            <w:shd w:val="clear" w:color="auto" w:fill="FFFFFF"/>
          </w:tcPr>
          <w:p>
            <w:pPr>
              <w:spacing w:before="20" w:after="40"/>
            </w:pPr>
            <w:r/>
            <w:r>
              <w:rPr>
                <w:color w:val="1A1A1A"/>
                <w:sz w:val="20"/>
              </w:rPr>
              <w:t>Neither party may re-label core BitWealth AUM revenue as a 'new stream' to avoid the other's legitimate share. Characterisation disputes go to independent expert determination.</w:t>
            </w:r>
          </w:p>
        </w:tc>
      </w:tr>
    </w:tbl>
    <w:p>
      <w:pPr>
        <w:spacing w:after="80"/>
      </w:pPr>
    </w:p>
    <w:p>
      <w:r>
        <w:br w:type="page"/>
      </w:r>
    </w:p>
    <w:p>
      <w:pPr>
        <w:keepNext/>
        <w:spacing w:before="280" w:after="80"/>
      </w:pPr>
      <w:r>
        <w:rPr>
          <w:rFonts w:ascii="Calibri" w:hAnsi="Calibri"/>
          <w:b/>
          <w:color w:val="C9A227"/>
          <w:sz w:val="28"/>
        </w:rPr>
        <w:t>9.  FSP ARRANGEMENT, FEE TRANSPARENCY &amp; RESERVED MATTERS</w:t>
      </w:r>
    </w:p>
    <w:tbl>
      <w:tblPr>
        <w:tblStyle w:val="TableGrid"/>
        <w:tblW w:type="auto" w:w="0"/>
        <w:jc w:val="left"/>
        <w:tblLook w:firstColumn="1" w:firstRow="1" w:lastColumn="0" w:lastRow="0" w:noHBand="0" w:noVBand="1" w:val="04A0"/>
      </w:tblPr>
      <w:tblGrid>
        <w:gridCol w:w="4816"/>
        <w:gridCol w:w="4816"/>
      </w:tblGrid>
      <w:tr>
        <w:tc>
          <w:tcPr>
            <w:tcW w:type="dxa" w:w="2721"/>
            <w:shd w:val="clear" w:color="auto" w:fill="F5F5F5"/>
          </w:tcPr>
          <w:p>
            <w:r/>
            <w:r>
              <w:rPr>
                <w:b/>
                <w:i w:val="0"/>
                <w:color w:val="1A1A1A"/>
                <w:sz w:val="20"/>
              </w:rPr>
              <w:t>FSP Terms</w:t>
            </w:r>
          </w:p>
        </w:tc>
        <w:tc>
          <w:tcPr>
            <w:tcW w:type="dxa" w:w="6633"/>
            <w:shd w:val="clear" w:color="auto" w:fill="F5F5F5"/>
          </w:tcPr>
          <w:p>
            <w:pPr>
              <w:spacing w:before="20" w:after="40"/>
            </w:pPr>
            <w:r/>
            <w:r>
              <w:rPr>
                <w:color w:val="1A1A1A"/>
                <w:sz w:val="20"/>
              </w:rPr>
              <w:t>Finova Capital (FSP No. 21095): 20% of performance fees + 50% of platform fees payable to Finova; no fixed monthly hosting fee.</w:t>
            </w:r>
          </w:p>
        </w:tc>
      </w:tr>
      <w:tr>
        <w:tc>
          <w:tcPr>
            <w:tcW w:type="dxa" w:w="2721"/>
            <w:shd w:val="clear" w:color="auto" w:fill="FFFFFF"/>
          </w:tcPr>
          <w:p>
            <w:r/>
            <w:r>
              <w:rPr>
                <w:b/>
                <w:i w:val="0"/>
                <w:color w:val="1A1A1A"/>
                <w:sz w:val="20"/>
              </w:rPr>
              <w:t>Fee Transparency</w:t>
            </w:r>
          </w:p>
        </w:tc>
        <w:tc>
          <w:tcPr>
            <w:tcW w:type="dxa" w:w="6633"/>
            <w:shd w:val="clear" w:color="auto" w:fill="FFFFFF"/>
          </w:tcPr>
          <w:p>
            <w:pPr>
              <w:spacing w:before="20" w:after="40"/>
            </w:pPr>
            <w:r/>
            <w:r>
              <w:rPr>
                <w:color w:val="1A1A1A"/>
                <w:sz w:val="20"/>
              </w:rPr>
              <w:t>The Company will share a full fee/profitability model showing net economics after the Finova revenue share.</w:t>
            </w:r>
          </w:p>
        </w:tc>
      </w:tr>
      <w:tr>
        <w:tc>
          <w:tcPr>
            <w:tcW w:type="dxa" w:w="2721"/>
            <w:shd w:val="clear" w:color="auto" w:fill="F5F5F5"/>
          </w:tcPr>
          <w:p>
            <w:r/>
            <w:r>
              <w:rPr>
                <w:b/>
                <w:i w:val="0"/>
                <w:color w:val="1A1A1A"/>
                <w:sz w:val="20"/>
              </w:rPr>
              <w:t>Reserved Matters</w:t>
            </w:r>
          </w:p>
        </w:tc>
        <w:tc>
          <w:tcPr>
            <w:tcW w:type="dxa" w:w="6633"/>
            <w:shd w:val="clear" w:color="auto" w:fill="F5F5F5"/>
          </w:tcPr>
          <w:p>
            <w:pPr>
              <w:spacing w:before="20" w:after="40"/>
            </w:pPr>
            <w:r/>
            <w:r>
              <w:rPr>
                <w:color w:val="1A1A1A"/>
                <w:sz w:val="20"/>
              </w:rPr>
              <w:t>A 10% holder will NOT have a veto over operational/strategic decisions (FSP, exchange, custody, execution). Instead:</w:t>
            </w:r>
          </w:p>
          <w:p>
            <w:pPr>
              <w:spacing w:before="20" w:after="40"/>
            </w:pPr>
            <w:r>
              <w:rPr>
                <w:b/>
                <w:color w:val="1A1A1A"/>
                <w:sz w:val="20"/>
              </w:rPr>
              <w:t>(a) consultation rights on material changes;</w:t>
            </w:r>
          </w:p>
          <w:p>
            <w:pPr>
              <w:spacing w:before="20" w:after="40"/>
            </w:pPr>
            <w:r>
              <w:rPr>
                <w:b/>
                <w:color w:val="1A1A1A"/>
                <w:sz w:val="20"/>
              </w:rPr>
              <w:t>(b) an anti-prejudice covenant — no change may be made for the purpose of, or with the effect of, reducing Simon's economic entitlement below its then-current basis without his consent;</w:t>
            </w:r>
          </w:p>
          <w:p>
            <w:pPr>
              <w:spacing w:before="20" w:after="40"/>
            </w:pPr>
            <w:r>
              <w:rPr>
                <w:b/>
                <w:color w:val="1A1A1A"/>
                <w:sz w:val="20"/>
              </w:rPr>
              <w:t>(c) genuine reserved-matter consent rights that apply only once Simon holds 25% or more.</w:t>
            </w:r>
          </w:p>
        </w:tc>
      </w:tr>
      <w:tr>
        <w:tc>
          <w:tcPr>
            <w:tcW w:type="dxa" w:w="2721"/>
            <w:shd w:val="clear" w:color="auto" w:fill="FFFFFF"/>
          </w:tcPr>
          <w:p>
            <w:r/>
            <w:r>
              <w:rPr>
                <w:b/>
                <w:i w:val="0"/>
                <w:color w:val="1A1A1A"/>
                <w:sz w:val="20"/>
              </w:rPr>
              <w:t>Regulatory Risk</w:t>
            </w:r>
          </w:p>
        </w:tc>
        <w:tc>
          <w:tcPr>
            <w:tcW w:type="dxa" w:w="6633"/>
            <w:shd w:val="clear" w:color="auto" w:fill="FFFFFF"/>
          </w:tcPr>
          <w:p>
            <w:pPr>
              <w:spacing w:before="20" w:after="40"/>
            </w:pPr>
            <w:r/>
            <w:r>
              <w:rPr>
                <w:color w:val="1A1A1A"/>
                <w:sz w:val="20"/>
              </w:rPr>
              <w:t>Simon acknowledges the JR arrangement is subject to regulatory approval and ongoing compliance; loss of JR status would materially impact the Company.</w:t>
            </w:r>
          </w:p>
        </w:tc>
      </w:tr>
    </w:tbl>
    <w:p>
      <w:pPr>
        <w:spacing w:after="80"/>
      </w:pPr>
    </w:p>
    <w:p>
      <w:pPr>
        <w:keepNext/>
        <w:spacing w:before="280" w:after="80"/>
      </w:pPr>
      <w:r>
        <w:rPr>
          <w:rFonts w:ascii="Calibri" w:hAnsi="Calibri"/>
          <w:b/>
          <w:color w:val="C9A227"/>
          <w:sz w:val="28"/>
        </w:rPr>
        <w:t>10.  GOOD LEAVER &amp; BAD LEAVER</w:t>
      </w:r>
    </w:p>
    <w:tbl>
      <w:tblPr>
        <w:tblStyle w:val="TableGrid"/>
        <w:tblW w:type="auto" w:w="0"/>
        <w:jc w:val="left"/>
        <w:tblLook w:firstColumn="1" w:firstRow="1" w:lastColumn="0" w:lastRow="0" w:noHBand="0" w:noVBand="1" w:val="04A0"/>
      </w:tblPr>
      <w:tblGrid>
        <w:gridCol w:w="4816"/>
        <w:gridCol w:w="4816"/>
      </w:tblGrid>
      <w:tr>
        <w:tc>
          <w:tcPr>
            <w:tcW w:type="dxa" w:w="2721"/>
            <w:shd w:val="clear" w:color="auto" w:fill="F5F5F5"/>
          </w:tcPr>
          <w:p>
            <w:r/>
            <w:r>
              <w:rPr>
                <w:b/>
                <w:i w:val="0"/>
                <w:color w:val="1A1A1A"/>
                <w:sz w:val="20"/>
              </w:rPr>
              <w:t>Good Leaver — expanded</w:t>
            </w:r>
          </w:p>
        </w:tc>
        <w:tc>
          <w:tcPr>
            <w:tcW w:type="dxa" w:w="6633"/>
            <w:shd w:val="clear" w:color="auto" w:fill="F5F5F5"/>
          </w:tcPr>
          <w:p>
            <w:pPr>
              <w:spacing w:before="20" w:after="40"/>
            </w:pPr>
            <w:r/>
            <w:r>
              <w:rPr>
                <w:color w:val="1A1A1A"/>
                <w:sz w:val="20"/>
              </w:rPr>
              <w:t>Simon is a Good Leaver on: death/permanent disability; retirement; termination without cause; constructive dismissal; material reduction of his role; the Company/Davin failing to support onboarding; loss of FSP/JR status not caused by Simon; or material breach by Davin/the Company.</w:t>
            </w:r>
          </w:p>
          <w:p>
            <w:pPr>
              <w:spacing w:before="20" w:after="40"/>
            </w:pPr>
            <w:r>
              <w:rPr>
                <w:color w:val="1A1A1A"/>
                <w:sz w:val="20"/>
              </w:rPr>
              <w:t>Consequence: retains all earned shares; unearned tranches follow Clause 7.</w:t>
            </w:r>
          </w:p>
        </w:tc>
      </w:tr>
      <w:tr>
        <w:tc>
          <w:tcPr>
            <w:tcW w:type="dxa" w:w="2721"/>
            <w:shd w:val="clear" w:color="auto" w:fill="FFFFFF"/>
          </w:tcPr>
          <w:p>
            <w:r/>
            <w:r>
              <w:rPr>
                <w:b/>
                <w:i w:val="0"/>
                <w:color w:val="1A1A1A"/>
                <w:sz w:val="20"/>
              </w:rPr>
              <w:t>Bad Leaver — narrowed</w:t>
            </w:r>
          </w:p>
        </w:tc>
        <w:tc>
          <w:tcPr>
            <w:tcW w:type="dxa" w:w="6633"/>
            <w:shd w:val="clear" w:color="auto" w:fill="FFFFFF"/>
          </w:tcPr>
          <w:p>
            <w:pPr>
              <w:spacing w:before="20" w:after="40"/>
            </w:pPr>
            <w:r/>
            <w:r>
              <w:rPr>
                <w:color w:val="1A1A1A"/>
                <w:sz w:val="20"/>
              </w:rPr>
              <w:t>Limited to proven fraud, theft, dishonesty, wilful misconduct, gross negligence, or a final (non-appealable) regulatory finding against Simon.</w:t>
            </w:r>
          </w:p>
        </w:tc>
      </w:tr>
      <w:tr>
        <w:tc>
          <w:tcPr>
            <w:tcW w:type="dxa" w:w="2721"/>
            <w:shd w:val="clear" w:color="auto" w:fill="F5F5F5"/>
          </w:tcPr>
          <w:p>
            <w:r/>
            <w:r>
              <w:rPr>
                <w:b/>
                <w:i w:val="0"/>
                <w:color w:val="1A1A1A"/>
                <w:sz w:val="20"/>
              </w:rPr>
              <w:t>Bad Leaver consequence</w:t>
            </w:r>
          </w:p>
        </w:tc>
        <w:tc>
          <w:tcPr>
            <w:tcW w:type="dxa" w:w="6633"/>
            <w:shd w:val="clear" w:color="auto" w:fill="F5F5F5"/>
          </w:tcPr>
          <w:p>
            <w:pPr>
              <w:spacing w:before="20" w:after="40"/>
            </w:pPr>
            <w:r/>
            <w:r>
              <w:rPr>
                <w:color w:val="1A1A1A"/>
                <w:sz w:val="20"/>
              </w:rPr>
              <w:t>Unearned tranches lapse. EARNED shares are bought at fair market value, EXCEPT where the trigger is fraud/theft/dishonesty (then at par, R1/share). Any forced transfer requires prior independent determination by an auditor/expert or arbitrator.</w:t>
            </w:r>
          </w:p>
        </w:tc>
      </w:tr>
      <w:tr>
        <w:tc>
          <w:tcPr>
            <w:tcW w:type="dxa" w:w="2721"/>
            <w:shd w:val="clear" w:color="auto" w:fill="FFFFFF"/>
          </w:tcPr>
          <w:p>
            <w:r/>
            <w:r>
              <w:rPr>
                <w:b/>
                <w:i w:val="0"/>
                <w:color w:val="1A1A1A"/>
                <w:sz w:val="20"/>
              </w:rPr>
              <w:t>Clawback — narrowed + reciprocal</w:t>
            </w:r>
          </w:p>
        </w:tc>
        <w:tc>
          <w:tcPr>
            <w:tcW w:type="dxa" w:w="6633"/>
            <w:shd w:val="clear" w:color="auto" w:fill="FFFFFF"/>
          </w:tcPr>
          <w:p>
            <w:pPr>
              <w:spacing w:before="20" w:after="40"/>
            </w:pPr>
            <w:r/>
            <w:r>
              <w:rPr>
                <w:color w:val="1A1A1A"/>
                <w:sz w:val="20"/>
              </w:rPr>
              <w:t>Clawback applies only to losses caused by Simon's wilful misconduct, fraud, gross negligence, or proven regulatory breach. Reciprocally, if Davin's/the Company's acts or omissions cause loss of JR/FSP status or damage client relationships, Simon is treated as a Good Leaver.</w:t>
            </w:r>
          </w:p>
        </w:tc>
      </w:tr>
    </w:tbl>
    <w:p>
      <w:pPr>
        <w:spacing w:after="80"/>
      </w:pPr>
    </w:p>
    <w:p>
      <w:pPr>
        <w:keepNext/>
        <w:spacing w:before="280" w:after="80"/>
      </w:pPr>
      <w:r>
        <w:rPr>
          <w:rFonts w:ascii="Calibri" w:hAnsi="Calibri"/>
          <w:b/>
          <w:color w:val="C9A227"/>
          <w:sz w:val="28"/>
        </w:rPr>
        <w:t>11.  CONFIDENTIALITY, NON-SOLICITATION, DRAG &amp; TAG</w:t>
      </w:r>
    </w:p>
    <w:tbl>
      <w:tblPr>
        <w:tblStyle w:val="TableGrid"/>
        <w:tblW w:type="auto" w:w="0"/>
        <w:jc w:val="left"/>
        <w:tblLook w:firstColumn="1" w:firstRow="1" w:lastColumn="0" w:lastRow="0" w:noHBand="0" w:noVBand="1" w:val="04A0"/>
      </w:tblPr>
      <w:tblGrid>
        <w:gridCol w:w="4816"/>
        <w:gridCol w:w="4816"/>
      </w:tblGrid>
      <w:tr>
        <w:tc>
          <w:tcPr>
            <w:tcW w:type="dxa" w:w="2721"/>
            <w:shd w:val="clear" w:color="auto" w:fill="F5F5F5"/>
          </w:tcPr>
          <w:p>
            <w:r/>
            <w:r>
              <w:rPr>
                <w:b/>
                <w:i w:val="0"/>
                <w:color w:val="1A1A1A"/>
                <w:sz w:val="20"/>
              </w:rPr>
              <w:t>Non-compete removed</w:t>
            </w:r>
          </w:p>
        </w:tc>
        <w:tc>
          <w:tcPr>
            <w:tcW w:type="dxa" w:w="6633"/>
            <w:shd w:val="clear" w:color="auto" w:fill="F5F5F5"/>
          </w:tcPr>
          <w:p>
            <w:pPr>
              <w:spacing w:before="20" w:after="40"/>
            </w:pPr>
            <w:r/>
            <w:r>
              <w:rPr>
                <w:color w:val="1A1A1A"/>
                <w:sz w:val="20"/>
              </w:rPr>
              <w:t>The broad non-compete is removed. Replaced with (i) confidentiality and (ii) non-solicitation of clients Simon actually dealt with and of staff, for 12 months post-exit, within South Africa.</w:t>
            </w:r>
          </w:p>
        </w:tc>
      </w:tr>
      <w:tr>
        <w:tc>
          <w:tcPr>
            <w:tcW w:type="dxa" w:w="2721"/>
            <w:shd w:val="clear" w:color="auto" w:fill="FFFFFF"/>
          </w:tcPr>
          <w:p>
            <w:r/>
            <w:r>
              <w:rPr>
                <w:b/>
                <w:i w:val="0"/>
                <w:color w:val="1A1A1A"/>
                <w:sz w:val="20"/>
              </w:rPr>
              <w:t>Drag-Along — with protections</w:t>
            </w:r>
          </w:p>
        </w:tc>
        <w:tc>
          <w:tcPr>
            <w:tcW w:type="dxa" w:w="6633"/>
            <w:shd w:val="clear" w:color="auto" w:fill="FFFFFF"/>
          </w:tcPr>
          <w:p>
            <w:pPr>
              <w:spacing w:before="20" w:after="40"/>
            </w:pPr>
            <w:r/>
            <w:r>
              <w:rPr>
                <w:color w:val="1A1A1A"/>
                <w:sz w:val="20"/>
              </w:rPr>
              <w:t>On a bona-fide sale of ≥ 75%, Simon must sell pro-rata on the SAME price and terms, with: cash-equivalent consideration; warranties limited to title and capacity; release from guarantees/liabilities; and no sale to a related party at an undervalue.</w:t>
            </w:r>
          </w:p>
        </w:tc>
      </w:tr>
      <w:tr>
        <w:tc>
          <w:tcPr>
            <w:tcW w:type="dxa" w:w="2721"/>
            <w:shd w:val="clear" w:color="auto" w:fill="F5F5F5"/>
          </w:tcPr>
          <w:p>
            <w:r/>
            <w:r>
              <w:rPr>
                <w:b/>
                <w:i w:val="0"/>
                <w:color w:val="1A1A1A"/>
                <w:sz w:val="20"/>
              </w:rPr>
              <w:t>Tag-Along</w:t>
            </w:r>
          </w:p>
        </w:tc>
        <w:tc>
          <w:tcPr>
            <w:tcW w:type="dxa" w:w="6633"/>
            <w:shd w:val="clear" w:color="auto" w:fill="F5F5F5"/>
          </w:tcPr>
          <w:p>
            <w:pPr>
              <w:spacing w:before="20" w:after="40"/>
            </w:pPr>
            <w:r/>
            <w:r>
              <w:rPr>
                <w:color w:val="1A1A1A"/>
                <w:sz w:val="20"/>
              </w:rPr>
              <w:t>If Davin sells more than 50% of his shares, Simon may include his shares on equivalent terms and the same price per share.</w:t>
            </w:r>
          </w:p>
        </w:tc>
      </w:tr>
    </w:tbl>
    <w:p>
      <w:pPr>
        <w:spacing w:after="80"/>
      </w:pPr>
    </w:p>
    <w:p>
      <w:pPr>
        <w:keepNext/>
        <w:spacing w:before="280" w:after="80"/>
      </w:pPr>
      <w:r>
        <w:rPr>
          <w:rFonts w:ascii="Calibri" w:hAnsi="Calibri"/>
          <w:b/>
          <w:color w:val="C9A227"/>
          <w:sz w:val="28"/>
        </w:rPr>
        <w:t>12.  PRE-EMPTIVE RIGHTS &amp; ANTI-CIRCUMVENTION</w:t>
      </w:r>
    </w:p>
    <w:tbl>
      <w:tblPr>
        <w:tblStyle w:val="TableGrid"/>
        <w:tblW w:type="auto" w:w="0"/>
        <w:jc w:val="left"/>
        <w:tblLook w:firstColumn="1" w:firstRow="1" w:lastColumn="0" w:lastRow="0" w:noHBand="0" w:noVBand="1" w:val="04A0"/>
      </w:tblPr>
      <w:tblGrid>
        <w:gridCol w:w="4816"/>
        <w:gridCol w:w="4816"/>
      </w:tblGrid>
      <w:tr>
        <w:tc>
          <w:tcPr>
            <w:tcW w:type="dxa" w:w="2721"/>
            <w:shd w:val="clear" w:color="auto" w:fill="F5F5F5"/>
          </w:tcPr>
          <w:p>
            <w:r/>
            <w:r>
              <w:rPr>
                <w:b/>
                <w:i w:val="0"/>
                <w:color w:val="1A1A1A"/>
                <w:sz w:val="20"/>
              </w:rPr>
              <w:t>Nature clarified</w:t>
            </w:r>
          </w:p>
        </w:tc>
        <w:tc>
          <w:tcPr>
            <w:tcW w:type="dxa" w:w="6633"/>
            <w:shd w:val="clear" w:color="auto" w:fill="F5F5F5"/>
          </w:tcPr>
          <w:p>
            <w:pPr>
              <w:spacing w:before="20" w:after="40"/>
            </w:pPr>
            <w:r/>
            <w:r>
              <w:rPr>
                <w:color w:val="1A1A1A"/>
                <w:sz w:val="20"/>
              </w:rPr>
              <w:t>Simon has PRO-RATA pre-emptive rights (a right of first offer on new share issues at the same price as the incoming subscriber) — not a full ratchet or weighted-average anti-dilution.</w:t>
            </w:r>
          </w:p>
        </w:tc>
      </w:tr>
      <w:tr>
        <w:tc>
          <w:tcPr>
            <w:tcW w:type="dxa" w:w="2721"/>
            <w:shd w:val="clear" w:color="auto" w:fill="FFFFFF"/>
          </w:tcPr>
          <w:p>
            <w:r/>
            <w:r>
              <w:rPr>
                <w:b/>
                <w:i w:val="0"/>
                <w:color w:val="1A1A1A"/>
                <w:sz w:val="20"/>
              </w:rPr>
              <w:t>Anti-circumvention</w:t>
            </w:r>
          </w:p>
        </w:tc>
        <w:tc>
          <w:tcPr>
            <w:tcW w:type="dxa" w:w="6633"/>
            <w:shd w:val="clear" w:color="auto" w:fill="FFFFFF"/>
          </w:tcPr>
          <w:p>
            <w:pPr>
              <w:spacing w:before="20" w:after="40"/>
            </w:pPr>
            <w:r/>
            <w:r>
              <w:rPr>
                <w:color w:val="1A1A1A"/>
                <w:sz w:val="20"/>
              </w:rPr>
              <w:t>No shares or options may be issued to Davin, associates, or staff below independently-determined fair value for the purpose of diluting Simon, without his consent.</w:t>
            </w:r>
          </w:p>
        </w:tc>
      </w:tr>
    </w:tbl>
    <w:p>
      <w:pPr>
        <w:spacing w:after="80"/>
      </w:pPr>
    </w:p>
    <w:p>
      <w:pPr>
        <w:keepNext/>
        <w:spacing w:before="280" w:after="80"/>
      </w:pPr>
      <w:r>
        <w:rPr>
          <w:rFonts w:ascii="Calibri" w:hAnsi="Calibri"/>
          <w:b/>
          <w:color w:val="C9A227"/>
          <w:sz w:val="28"/>
        </w:rPr>
        <w:t>13.  SHARE TRANSFER MECHANISM</w:t>
      </w:r>
    </w:p>
    <w:tbl>
      <w:tblPr>
        <w:tblStyle w:val="TableGrid"/>
        <w:tblW w:type="auto" w:w="0"/>
        <w:jc w:val="left"/>
        <w:tblLook w:firstColumn="1" w:firstRow="1" w:lastColumn="0" w:lastRow="0" w:noHBand="0" w:noVBand="1" w:val="04A0"/>
      </w:tblPr>
      <w:tblGrid>
        <w:gridCol w:w="4816"/>
        <w:gridCol w:w="4816"/>
      </w:tblGrid>
      <w:tr>
        <w:tc>
          <w:tcPr>
            <w:tcW w:type="dxa" w:w="2721"/>
            <w:shd w:val="clear" w:color="auto" w:fill="F5F5F5"/>
          </w:tcPr>
          <w:p>
            <w:r/>
            <w:r>
              <w:rPr>
                <w:b/>
                <w:i w:val="0"/>
                <w:color w:val="1A1A1A"/>
                <w:sz w:val="20"/>
              </w:rPr>
              <w:t>Transfer Method</w:t>
            </w:r>
          </w:p>
        </w:tc>
        <w:tc>
          <w:tcPr>
            <w:tcW w:type="dxa" w:w="6633"/>
            <w:shd w:val="clear" w:color="auto" w:fill="F5F5F5"/>
          </w:tcPr>
          <w:p>
            <w:pPr>
              <w:spacing w:before="20" w:after="40"/>
            </w:pPr>
            <w:r/>
            <w:r>
              <w:rPr>
                <w:color w:val="1A1A1A"/>
                <w:sz w:val="20"/>
              </w:rPr>
              <w:t>By share transfer form and update of the Company's share register, filed with CIPC where required under the Companies Act, 2008.</w:t>
            </w:r>
          </w:p>
        </w:tc>
      </w:tr>
      <w:tr>
        <w:tc>
          <w:tcPr>
            <w:tcW w:type="dxa" w:w="2721"/>
            <w:shd w:val="clear" w:color="auto" w:fill="FFFFFF"/>
          </w:tcPr>
          <w:p>
            <w:r/>
            <w:r>
              <w:rPr>
                <w:b/>
                <w:i w:val="0"/>
                <w:color w:val="1A1A1A"/>
                <w:sz w:val="20"/>
              </w:rPr>
              <w:t>Trigger Events</w:t>
            </w:r>
          </w:p>
        </w:tc>
        <w:tc>
          <w:tcPr>
            <w:tcW w:type="dxa" w:w="6633"/>
            <w:shd w:val="clear" w:color="auto" w:fill="FFFFFF"/>
          </w:tcPr>
          <w:p>
            <w:pPr>
              <w:spacing w:before="20" w:after="40"/>
            </w:pPr>
            <w:r/>
            <w:r>
              <w:rPr>
                <w:b/>
                <w:color w:val="1A1A1A"/>
                <w:sz w:val="20"/>
              </w:rPr>
              <w:t>(a) Signing (founding 10%); (b) Board confirmation of milestone achievement; or (c) a leaver event (Clause 10).</w:t>
            </w:r>
          </w:p>
        </w:tc>
      </w:tr>
      <w:tr>
        <w:tc>
          <w:tcPr>
            <w:tcW w:type="dxa" w:w="2721"/>
            <w:shd w:val="clear" w:color="auto" w:fill="F5F5F5"/>
          </w:tcPr>
          <w:p>
            <w:r/>
            <w:r>
              <w:rPr>
                <w:b/>
                <w:i w:val="0"/>
                <w:color w:val="1A1A1A"/>
                <w:sz w:val="20"/>
              </w:rPr>
              <w:t>Transfer Costs</w:t>
            </w:r>
          </w:p>
        </w:tc>
        <w:tc>
          <w:tcPr>
            <w:tcW w:type="dxa" w:w="6633"/>
            <w:shd w:val="clear" w:color="auto" w:fill="F5F5F5"/>
          </w:tcPr>
          <w:p>
            <w:pPr>
              <w:spacing w:before="20" w:after="40"/>
            </w:pPr>
            <w:r/>
            <w:r>
              <w:rPr>
                <w:color w:val="1A1A1A"/>
                <w:sz w:val="20"/>
              </w:rPr>
              <w:t>All costs, including any securities transfer tax, borne by the Company.</w:t>
            </w:r>
          </w:p>
        </w:tc>
      </w:tr>
    </w:tbl>
    <w:p>
      <w:pPr>
        <w:spacing w:after="80"/>
      </w:pPr>
    </w:p>
    <w:p>
      <w:pPr>
        <w:keepNext/>
        <w:spacing w:before="280" w:after="80"/>
      </w:pPr>
      <w:r>
        <w:rPr>
          <w:rFonts w:ascii="Calibri" w:hAnsi="Calibri"/>
          <w:b/>
          <w:color w:val="C9A227"/>
          <w:sz w:val="28"/>
        </w:rPr>
        <w:t>14.  CONDITIONS PRECEDENT &amp; GENERAL</w:t>
      </w:r>
    </w:p>
    <w:tbl>
      <w:tblPr>
        <w:tblStyle w:val="TableGrid"/>
        <w:tblW w:type="auto" w:w="0"/>
        <w:jc w:val="left"/>
        <w:tblLook w:firstColumn="1" w:firstRow="1" w:lastColumn="0" w:lastRow="0" w:noHBand="0" w:noVBand="1" w:val="04A0"/>
      </w:tblPr>
      <w:tblGrid>
        <w:gridCol w:w="4816"/>
        <w:gridCol w:w="4816"/>
      </w:tblGrid>
      <w:tr>
        <w:tc>
          <w:tcPr>
            <w:tcW w:type="dxa" w:w="2721"/>
            <w:shd w:val="clear" w:color="auto" w:fill="F5F5F5"/>
          </w:tcPr>
          <w:p>
            <w:r/>
            <w:r>
              <w:rPr>
                <w:b/>
                <w:i w:val="0"/>
                <w:color w:val="1A1A1A"/>
                <w:sz w:val="20"/>
              </w:rPr>
              <w:t>Conditions Precedent</w:t>
            </w:r>
          </w:p>
        </w:tc>
        <w:tc>
          <w:tcPr>
            <w:tcW w:type="dxa" w:w="6633"/>
            <w:shd w:val="clear" w:color="auto" w:fill="F5F5F5"/>
          </w:tcPr>
          <w:p>
            <w:pPr>
              <w:spacing w:before="20" w:after="40"/>
            </w:pPr>
            <w:r/>
            <w:r>
              <w:rPr>
                <w:b/>
                <w:color w:val="1A1A1A"/>
                <w:sz w:val="20"/>
              </w:rPr>
              <w:t>(a) Shareholders' Agreement and Equity Participation Agreement in agreed form;</w:t>
            </w:r>
          </w:p>
          <w:p>
            <w:pPr>
              <w:spacing w:before="20" w:after="40"/>
            </w:pPr>
            <w:r>
              <w:rPr>
                <w:b/>
                <w:color w:val="1A1A1A"/>
                <w:sz w:val="20"/>
              </w:rPr>
              <w:t>(b) independent legal advice obtained by Simon;</w:t>
            </w:r>
          </w:p>
          <w:p>
            <w:pPr>
              <w:spacing w:before="20" w:after="40"/>
            </w:pPr>
            <w:r>
              <w:rPr>
                <w:b/>
                <w:color w:val="1A1A1A"/>
                <w:sz w:val="20"/>
              </w:rPr>
              <w:t>(c) independent tax advice obtained by both parties;</w:t>
            </w:r>
          </w:p>
          <w:p>
            <w:pPr>
              <w:spacing w:before="20" w:after="40"/>
            </w:pPr>
            <w:r>
              <w:rPr>
                <w:b/>
                <w:color w:val="1A1A1A"/>
                <w:sz w:val="20"/>
              </w:rPr>
              <w:t>(d) Finova Capital JR appointment or letter of intent;</w:t>
            </w:r>
          </w:p>
          <w:p>
            <w:pPr>
              <w:spacing w:before="20" w:after="40"/>
            </w:pPr>
            <w:r>
              <w:rPr>
                <w:b/>
                <w:color w:val="1A1A1A"/>
                <w:sz w:val="20"/>
              </w:rPr>
              <w:t>(e) confirmation Simon meets minimum FAIS fit-and-proper requirements.</w:t>
            </w:r>
          </w:p>
        </w:tc>
      </w:tr>
      <w:tr>
        <w:tc>
          <w:tcPr>
            <w:tcW w:type="dxa" w:w="2721"/>
            <w:shd w:val="clear" w:color="auto" w:fill="FFFFFF"/>
          </w:tcPr>
          <w:p>
            <w:r/>
            <w:r>
              <w:rPr>
                <w:b/>
                <w:i w:val="0"/>
                <w:color w:val="1A1A1A"/>
                <w:sz w:val="20"/>
              </w:rPr>
              <w:t>Exclusivity</w:t>
            </w:r>
          </w:p>
        </w:tc>
        <w:tc>
          <w:tcPr>
            <w:tcW w:type="dxa" w:w="6633"/>
            <w:shd w:val="clear" w:color="auto" w:fill="FFFFFF"/>
          </w:tcPr>
          <w:p>
            <w:pPr>
              <w:spacing w:before="20" w:after="40"/>
            </w:pPr>
            <w:r/>
            <w:r>
              <w:rPr>
                <w:color w:val="1A1A1A"/>
                <w:sz w:val="20"/>
              </w:rPr>
              <w:t>For 60 days from signature, Simon will not negotiate a similar arrangement with any other fintech, crypto, or investment-management company.</w:t>
            </w:r>
          </w:p>
        </w:tc>
      </w:tr>
      <w:tr>
        <w:tc>
          <w:tcPr>
            <w:tcW w:type="dxa" w:w="2721"/>
            <w:shd w:val="clear" w:color="auto" w:fill="F5F5F5"/>
          </w:tcPr>
          <w:p>
            <w:r/>
            <w:r>
              <w:rPr>
                <w:b/>
                <w:i w:val="0"/>
                <w:color w:val="1A1A1A"/>
                <w:sz w:val="20"/>
              </w:rPr>
              <w:t>Governing Law</w:t>
            </w:r>
          </w:p>
        </w:tc>
        <w:tc>
          <w:tcPr>
            <w:tcW w:type="dxa" w:w="6633"/>
            <w:shd w:val="clear" w:color="auto" w:fill="F5F5F5"/>
          </w:tcPr>
          <w:p>
            <w:pPr>
              <w:spacing w:before="20" w:after="40"/>
            </w:pPr>
            <w:r/>
            <w:r>
              <w:rPr>
                <w:color w:val="1A1A1A"/>
                <w:sz w:val="20"/>
              </w:rPr>
              <w:t>Republic of South Africa; disputes to arbitration under AFSA rules.</w:t>
            </w:r>
          </w:p>
        </w:tc>
      </w:tr>
      <w:tr>
        <w:tc>
          <w:tcPr>
            <w:tcW w:type="dxa" w:w="2721"/>
            <w:shd w:val="clear" w:color="auto" w:fill="FFFFFF"/>
          </w:tcPr>
          <w:p>
            <w:r/>
            <w:r>
              <w:rPr>
                <w:b/>
                <w:i w:val="0"/>
                <w:color w:val="1A1A1A"/>
                <w:sz w:val="20"/>
              </w:rPr>
              <w:t>Confidentiality</w:t>
            </w:r>
          </w:p>
        </w:tc>
        <w:tc>
          <w:tcPr>
            <w:tcW w:type="dxa" w:w="6633"/>
            <w:shd w:val="clear" w:color="auto" w:fill="FFFFFF"/>
          </w:tcPr>
          <w:p>
            <w:pPr>
              <w:spacing w:before="20" w:after="40"/>
            </w:pPr>
            <w:r/>
            <w:r>
              <w:rPr>
                <w:color w:val="1A1A1A"/>
                <w:sz w:val="20"/>
              </w:rPr>
              <w:t>Both parties keep the contents of this term sheet strictly confidential.</w:t>
            </w:r>
          </w:p>
        </w:tc>
      </w:tr>
      <w:tr>
        <w:tc>
          <w:tcPr>
            <w:tcW w:type="dxa" w:w="2721"/>
            <w:shd w:val="clear" w:color="auto" w:fill="F5F5F5"/>
          </w:tcPr>
          <w:p>
            <w:r/>
            <w:r>
              <w:rPr>
                <w:b/>
                <w:i w:val="0"/>
                <w:color w:val="1A1A1A"/>
                <w:sz w:val="20"/>
              </w:rPr>
              <w:t>Non-Binding</w:t>
            </w:r>
          </w:p>
        </w:tc>
        <w:tc>
          <w:tcPr>
            <w:tcW w:type="dxa" w:w="6633"/>
            <w:shd w:val="clear" w:color="auto" w:fill="F5F5F5"/>
          </w:tcPr>
          <w:p>
            <w:pPr>
              <w:spacing w:before="20" w:after="40"/>
            </w:pPr>
            <w:r/>
            <w:r>
              <w:rPr>
                <w:color w:val="1A1A1A"/>
                <w:sz w:val="20"/>
              </w:rPr>
              <w:t>Non-binding and subject to contract; no obligations arise until definitive agreements are signed. Lapses if not countersigned within 30 days.</w:t>
            </w:r>
          </w:p>
        </w:tc>
      </w:tr>
    </w:tbl>
    <w:p>
      <w:pPr>
        <w:spacing w:after="80"/>
      </w:pPr>
    </w:p>
    <w:p>
      <w:pPr>
        <w:spacing w:before="80" w:after="80"/>
        <w:pBdr>
          <w:bottom w:val="single" w:sz="4" w:space="1" w:color="C9A227"/>
        </w:pBdr>
      </w:pPr>
    </w:p>
    <w:p>
      <w:pPr>
        <w:keepNext/>
        <w:spacing w:before="280" w:after="80"/>
      </w:pPr>
      <w:r>
        <w:rPr>
          <w:rFonts w:ascii="Calibri" w:hAnsi="Calibri"/>
          <w:b/>
          <w:color w:val="C9A227"/>
          <w:sz w:val="28"/>
        </w:rPr>
        <w:t>15.  SIGNATURE</w:t>
      </w:r>
    </w:p>
    <w:p>
      <w:pPr>
        <w:spacing w:before="40" w:after="80"/>
      </w:pPr>
      <w:r>
        <w:rPr>
          <w:b w:val="0"/>
          <w:i w:val="0"/>
          <w:color w:val="1A1A1A"/>
          <w:sz w:val="20"/>
        </w:rPr>
        <w:t>By signing below the parties confirm they have read and understood these heads of terms and agree to proceed to definitive agreements on this basis. This signature does not create a binding legal obligation.</w:t>
      </w:r>
    </w:p>
    <w:tbl>
      <w:tblPr>
        <w:tblStyle w:val="TableGrid"/>
        <w:tblW w:type="auto" w:w="0"/>
        <w:tblLook w:firstColumn="1" w:firstRow="1" w:lastColumn="0" w:lastRow="0" w:noHBand="0" w:noVBand="1" w:val="04A0"/>
      </w:tblPr>
      <w:tblGrid>
        <w:gridCol w:w="4816"/>
        <w:gridCol w:w="4816"/>
      </w:tblGrid>
      <w:tr>
        <w:tc>
          <w:tcPr>
            <w:tcW w:type="dxa" w:w="4649"/>
            <w:shd w:val="clear" w:color="auto" w:fill="F5F5F5"/>
          </w:tcPr>
          <w:p>
            <w:r/>
            <w:r>
              <w:rPr>
                <w:b/>
                <w:i w:val="0"/>
                <w:color w:val="1A1A1A"/>
                <w:sz w:val="20"/>
              </w:rPr>
              <w:t>FOR AND ON BEHALF OF BITWEALTH (PTY) LTD</w:t>
              <w:br/>
              <w:t>and in his personal capacity as Founder</w:t>
            </w:r>
          </w:p>
        </w:tc>
        <w:tc>
          <w:tcPr>
            <w:tcW w:type="dxa" w:w="4649"/>
            <w:shd w:val="clear" w:color="auto" w:fill="F5F5F5"/>
          </w:tcPr>
          <w:p>
            <w:r/>
            <w:r>
              <w:rPr>
                <w:b/>
                <w:i w:val="0"/>
                <w:color w:val="1A1A1A"/>
                <w:sz w:val="20"/>
              </w:rPr>
              <w:t>AGREED TO BY SIMON HENRY NEWBOLD HOBDAY</w:t>
              <w:br/>
              <w:t>in his personal capacity</w:t>
            </w:r>
          </w:p>
        </w:tc>
      </w:tr>
      <w:tr>
        <w:tc>
          <w:tcPr>
            <w:tcW w:type="dxa" w:w="4649"/>
            <w:shd w:val="clear" w:color="auto" w:fill="FFFFFF"/>
          </w:tcPr>
          <w:p>
            <w:r/>
            <w:r>
              <w:rPr>
                <w:b w:val="0"/>
                <w:i w:val="0"/>
                <w:color w:val="1A1A1A"/>
                <w:sz w:val="20"/>
              </w:rPr>
              <w:t>Signature: _____________________________</w:t>
            </w:r>
          </w:p>
        </w:tc>
        <w:tc>
          <w:tcPr>
            <w:tcW w:type="dxa" w:w="4649"/>
            <w:shd w:val="clear" w:color="auto" w:fill="FFFFFF"/>
          </w:tcPr>
          <w:p>
            <w:r/>
            <w:r>
              <w:rPr>
                <w:b w:val="0"/>
                <w:i w:val="0"/>
                <w:color w:val="1A1A1A"/>
                <w:sz w:val="20"/>
              </w:rPr>
              <w:t>Signature: _____________________________</w:t>
            </w:r>
          </w:p>
        </w:tc>
      </w:tr>
      <w:tr>
        <w:tc>
          <w:tcPr>
            <w:tcW w:type="dxa" w:w="4649"/>
            <w:shd w:val="clear" w:color="auto" w:fill="FFFFFF"/>
          </w:tcPr>
          <w:p>
            <w:r/>
            <w:r>
              <w:rPr>
                <w:b w:val="0"/>
                <w:i w:val="0"/>
                <w:color w:val="1A1A1A"/>
                <w:sz w:val="20"/>
              </w:rPr>
              <w:t>Full Name:  Davin Harald Gaier</w:t>
            </w:r>
          </w:p>
        </w:tc>
        <w:tc>
          <w:tcPr>
            <w:tcW w:type="dxa" w:w="4649"/>
            <w:shd w:val="clear" w:color="auto" w:fill="FFFFFF"/>
          </w:tcPr>
          <w:p>
            <w:r/>
            <w:r>
              <w:rPr>
                <w:b w:val="0"/>
                <w:i w:val="0"/>
                <w:color w:val="1A1A1A"/>
                <w:sz w:val="20"/>
              </w:rPr>
              <w:t>Full Name:  Simon Henry Newbold Hobday</w:t>
            </w:r>
          </w:p>
        </w:tc>
      </w:tr>
      <w:tr>
        <w:tc>
          <w:tcPr>
            <w:tcW w:type="dxa" w:w="4649"/>
            <w:shd w:val="clear" w:color="auto" w:fill="FFFFFF"/>
          </w:tcPr>
          <w:p>
            <w:r/>
            <w:r>
              <w:rPr>
                <w:b w:val="0"/>
                <w:i w:val="0"/>
                <w:color w:val="1A1A1A"/>
                <w:sz w:val="20"/>
              </w:rPr>
              <w:t>Capacity:   Director / Founder</w:t>
            </w:r>
          </w:p>
        </w:tc>
        <w:tc>
          <w:tcPr>
            <w:tcW w:type="dxa" w:w="4649"/>
            <w:shd w:val="clear" w:color="auto" w:fill="FFFFFF"/>
          </w:tcPr>
          <w:p>
            <w:r/>
            <w:r>
              <w:rPr>
                <w:b w:val="0"/>
                <w:i w:val="0"/>
                <w:color w:val="1A1A1A"/>
                <w:sz w:val="20"/>
              </w:rPr>
              <w:t>Capacity:   Proposed Business Development Partner</w:t>
            </w:r>
          </w:p>
        </w:tc>
      </w:tr>
      <w:tr>
        <w:tc>
          <w:tcPr>
            <w:tcW w:type="dxa" w:w="4649"/>
            <w:shd w:val="clear" w:color="auto" w:fill="FFFFFF"/>
          </w:tcPr>
          <w:p>
            <w:r/>
            <w:r>
              <w:rPr>
                <w:b w:val="0"/>
                <w:i w:val="0"/>
                <w:color w:val="1A1A1A"/>
                <w:sz w:val="20"/>
              </w:rPr>
              <w:t>Date:       ___________________________</w:t>
            </w:r>
          </w:p>
        </w:tc>
        <w:tc>
          <w:tcPr>
            <w:tcW w:type="dxa" w:w="4649"/>
            <w:shd w:val="clear" w:color="auto" w:fill="FFFFFF"/>
          </w:tcPr>
          <w:p>
            <w:r/>
            <w:r>
              <w:rPr>
                <w:b w:val="0"/>
                <w:i w:val="0"/>
                <w:color w:val="1A1A1A"/>
                <w:sz w:val="20"/>
              </w:rPr>
              <w:t>Date:       ___________________________</w:t>
            </w:r>
          </w:p>
        </w:tc>
      </w:tr>
      <w:tr>
        <w:tc>
          <w:tcPr>
            <w:tcW w:type="dxa" w:w="4649"/>
            <w:shd w:val="clear" w:color="auto" w:fill="FFFFFF"/>
          </w:tcPr>
          <w:p>
            <w:r/>
            <w:r>
              <w:rPr>
                <w:b w:val="0"/>
                <w:i w:val="0"/>
                <w:color w:val="1A1A1A"/>
                <w:sz w:val="20"/>
              </w:rPr>
              <w:t>Witness:    ___________________________</w:t>
            </w:r>
          </w:p>
        </w:tc>
        <w:tc>
          <w:tcPr>
            <w:tcW w:type="dxa" w:w="4649"/>
            <w:shd w:val="clear" w:color="auto" w:fill="FFFFFF"/>
          </w:tcPr>
          <w:p>
            <w:r/>
            <w:r>
              <w:rPr>
                <w:b w:val="0"/>
                <w:i w:val="0"/>
                <w:color w:val="1A1A1A"/>
                <w:sz w:val="20"/>
              </w:rPr>
              <w:t>Witness:    ___________________________</w:t>
            </w:r>
          </w:p>
        </w:tc>
      </w:tr>
    </w:tbl>
    <w:sectPr w:rsidR="00FC693F" w:rsidRPr="0006063C" w:rsidSect="00034616">
      <w:pgSz w:w="12240" w:h="15840"/>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