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32BE" w14:textId="77777777" w:rsidR="00F11D6A" w:rsidRPr="00A36733" w:rsidRDefault="00000000">
      <w:pPr>
        <w:pStyle w:val="Heading1"/>
        <w:rPr>
          <w:sz w:val="24"/>
          <w:szCs w:val="24"/>
        </w:rPr>
      </w:pPr>
      <w:r w:rsidRPr="00A36733">
        <w:rPr>
          <w:color w:val="0A2E4D"/>
          <w:sz w:val="24"/>
          <w:szCs w:val="24"/>
        </w:rPr>
        <w:t>BitWealth Partner Portal — Specification for Finova</w:t>
      </w:r>
    </w:p>
    <w:p w14:paraId="04857812" w14:textId="77777777" w:rsidR="00F11D6A" w:rsidRPr="00A36733" w:rsidRDefault="00000000">
      <w:pPr>
        <w:jc w:val="center"/>
        <w:rPr>
          <w:sz w:val="20"/>
          <w:szCs w:val="20"/>
        </w:rPr>
      </w:pPr>
      <w:r w:rsidRPr="00A36733">
        <w:rPr>
          <w:b/>
          <w:sz w:val="20"/>
          <w:szCs w:val="20"/>
        </w:rPr>
        <w:t>Version 0.3 (draft for Finova review) · 30 August 2026</w:t>
      </w:r>
    </w:p>
    <w:p w14:paraId="0F5C043D" w14:textId="77777777" w:rsidR="00F11D6A" w:rsidRPr="00A36733" w:rsidRDefault="00000000">
      <w:pPr>
        <w:pStyle w:val="Heading2"/>
        <w:rPr>
          <w:sz w:val="24"/>
          <w:szCs w:val="24"/>
        </w:rPr>
      </w:pPr>
      <w:r w:rsidRPr="00A36733">
        <w:rPr>
          <w:color w:val="0A2E4D"/>
          <w:sz w:val="24"/>
          <w:szCs w:val="24"/>
        </w:rPr>
        <w:t>Purpose</w:t>
      </w:r>
    </w:p>
    <w:p w14:paraId="581B4664" w14:textId="77777777" w:rsidR="00F11D6A" w:rsidRPr="00A36733" w:rsidRDefault="00000000">
      <w:pPr>
        <w:rPr>
          <w:sz w:val="20"/>
          <w:szCs w:val="20"/>
        </w:rPr>
      </w:pPr>
      <w:r w:rsidRPr="00A36733">
        <w:rPr>
          <w:sz w:val="20"/>
          <w:szCs w:val="20"/>
        </w:rPr>
        <w:t xml:space="preserve">BitWealth operates a Bitcoin dollar-cost-averaging investment strategy. Where Finova is the responsible FSP, client assets will be held in </w:t>
      </w:r>
      <w:r w:rsidRPr="00A36733">
        <w:rPr>
          <w:b/>
          <w:sz w:val="20"/>
          <w:szCs w:val="20"/>
        </w:rPr>
        <w:t>subaccounts under Finova's VALR omnibus account</w:t>
      </w:r>
      <w:r w:rsidRPr="00A36733">
        <w:rPr>
          <w:sz w:val="20"/>
          <w:szCs w:val="20"/>
        </w:rPr>
        <w:t>.</w:t>
      </w:r>
    </w:p>
    <w:p w14:paraId="296846F1" w14:textId="77777777" w:rsidR="00F11D6A" w:rsidRPr="00A36733" w:rsidRDefault="00000000">
      <w:pPr>
        <w:rPr>
          <w:sz w:val="20"/>
          <w:szCs w:val="20"/>
        </w:rPr>
      </w:pPr>
      <w:r w:rsidRPr="00A36733">
        <w:rPr>
          <w:sz w:val="20"/>
          <w:szCs w:val="20"/>
        </w:rPr>
        <w:t xml:space="preserve">Finova will not be asked to share omnibus API credentials. Instead, Finova creates each client subaccount manually and provides BitWealth with an API key limited to that single subaccount. BitWealth uses that key to trade the client's portfolio; </w:t>
      </w:r>
      <w:r w:rsidRPr="00A36733">
        <w:rPr>
          <w:b/>
          <w:sz w:val="20"/>
          <w:szCs w:val="20"/>
        </w:rPr>
        <w:t>Finova retains sole control of all withdrawals.</w:t>
      </w:r>
    </w:p>
    <w:p w14:paraId="20765283" w14:textId="77777777" w:rsidR="00F11D6A" w:rsidRPr="00A36733" w:rsidRDefault="00000000">
      <w:pPr>
        <w:rPr>
          <w:sz w:val="20"/>
          <w:szCs w:val="20"/>
        </w:rPr>
      </w:pPr>
      <w:r w:rsidRPr="00A36733">
        <w:rPr>
          <w:sz w:val="20"/>
          <w:szCs w:val="20"/>
        </w:rPr>
        <w:t>This document covers only the parts Finova interacts with.</w:t>
      </w:r>
    </w:p>
    <w:p w14:paraId="76481F96" w14:textId="77777777" w:rsidR="00F11D6A" w:rsidRPr="00A36733" w:rsidRDefault="00000000">
      <w:pPr>
        <w:pStyle w:val="Heading2"/>
        <w:rPr>
          <w:sz w:val="24"/>
          <w:szCs w:val="24"/>
        </w:rPr>
      </w:pPr>
      <w:r w:rsidRPr="00A36733">
        <w:rPr>
          <w:color w:val="0A2E4D"/>
          <w:sz w:val="24"/>
          <w:szCs w:val="24"/>
        </w:rPr>
        <w:t>Please confirm these points</w:t>
      </w:r>
    </w:p>
    <w:p w14:paraId="47F0BFF1" w14:textId="77777777" w:rsidR="00F11D6A" w:rsidRPr="00A36733" w:rsidRDefault="00000000">
      <w:pPr>
        <w:pStyle w:val="ListNumber"/>
        <w:rPr>
          <w:sz w:val="20"/>
          <w:szCs w:val="20"/>
        </w:rPr>
      </w:pPr>
      <w:r w:rsidRPr="00A36733">
        <w:rPr>
          <w:b/>
          <w:sz w:val="20"/>
          <w:szCs w:val="20"/>
        </w:rPr>
        <w:t>Permissions.</w:t>
      </w:r>
      <w:r w:rsidRPr="00A36733">
        <w:rPr>
          <w:sz w:val="20"/>
          <w:szCs w:val="20"/>
        </w:rPr>
        <w:t xml:space="preserve"> We require </w:t>
      </w:r>
      <w:r w:rsidRPr="00A36733">
        <w:rPr>
          <w:b/>
          <w:sz w:val="20"/>
          <w:szCs w:val="20"/>
        </w:rPr>
        <w:t>View</w:t>
      </w:r>
      <w:r w:rsidRPr="00A36733">
        <w:rPr>
          <w:sz w:val="20"/>
          <w:szCs w:val="20"/>
        </w:rPr>
        <w:t xml:space="preserve">, </w:t>
      </w:r>
      <w:r w:rsidRPr="00A36733">
        <w:rPr>
          <w:b/>
          <w:sz w:val="20"/>
          <w:szCs w:val="20"/>
        </w:rPr>
        <w:t>Trade</w:t>
      </w:r>
      <w:r w:rsidRPr="00A36733">
        <w:rPr>
          <w:sz w:val="20"/>
          <w:szCs w:val="20"/>
        </w:rPr>
        <w:t xml:space="preserve"> and </w:t>
      </w:r>
      <w:r w:rsidRPr="00A36733">
        <w:rPr>
          <w:b/>
          <w:sz w:val="20"/>
          <w:szCs w:val="20"/>
        </w:rPr>
        <w:t>Transfer</w:t>
      </w:r>
      <w:r w:rsidRPr="00A36733">
        <w:rPr>
          <w:sz w:val="20"/>
          <w:szCs w:val="20"/>
        </w:rPr>
        <w:t xml:space="preserve"> on each key. We ask that </w:t>
      </w:r>
      <w:r w:rsidRPr="00A36733">
        <w:rPr>
          <w:b/>
          <w:sz w:val="20"/>
          <w:szCs w:val="20"/>
        </w:rPr>
        <w:t>Withdraw is NOT granted</w:t>
      </w:r>
      <w:r w:rsidRPr="00A36733">
        <w:rPr>
          <w:sz w:val="20"/>
          <w:szCs w:val="20"/>
        </w:rPr>
        <w:t xml:space="preserve"> — this is what guarantees only Finova can move client money out.</w:t>
      </w:r>
    </w:p>
    <w:p w14:paraId="7A006387" w14:textId="77777777" w:rsidR="00F11D6A" w:rsidRPr="00A36733" w:rsidRDefault="00000000">
      <w:pPr>
        <w:pStyle w:val="ListNumber"/>
        <w:rPr>
          <w:sz w:val="20"/>
          <w:szCs w:val="20"/>
        </w:rPr>
      </w:pPr>
      <w:r w:rsidRPr="00A36733">
        <w:rPr>
          <w:b/>
          <w:sz w:val="20"/>
          <w:szCs w:val="20"/>
        </w:rPr>
        <w:t>How many Finova staff need portal logins,</w:t>
      </w:r>
      <w:r w:rsidRPr="00A36733">
        <w:rPr>
          <w:sz w:val="20"/>
          <w:szCs w:val="20"/>
        </w:rPr>
        <w:t xml:space="preserve"> and their names and email addresses.</w:t>
      </w:r>
    </w:p>
    <w:p w14:paraId="7BF73038" w14:textId="77777777" w:rsidR="00F11D6A" w:rsidRPr="00A36733" w:rsidRDefault="00000000">
      <w:pPr>
        <w:pStyle w:val="ListNumber"/>
        <w:rPr>
          <w:sz w:val="20"/>
          <w:szCs w:val="20"/>
        </w:rPr>
      </w:pPr>
      <w:r w:rsidRPr="00A36733">
        <w:rPr>
          <w:b/>
          <w:sz w:val="20"/>
          <w:szCs w:val="20"/>
        </w:rPr>
        <w:t>Turnaround times</w:t>
      </w:r>
      <w:r w:rsidRPr="00A36733">
        <w:rPr>
          <w:sz w:val="20"/>
          <w:szCs w:val="20"/>
        </w:rPr>
        <w:t xml:space="preserve"> for new subaccounts and for withdrawals (see final section).</w:t>
      </w:r>
    </w:p>
    <w:p w14:paraId="5501D00D" w14:textId="77777777" w:rsidR="00F11D6A" w:rsidRPr="00A36733" w:rsidRDefault="00000000">
      <w:pPr>
        <w:pStyle w:val="Heading2"/>
        <w:rPr>
          <w:sz w:val="24"/>
          <w:szCs w:val="24"/>
        </w:rPr>
      </w:pPr>
      <w:r w:rsidRPr="00A36733">
        <w:rPr>
          <w:color w:val="0A2E4D"/>
          <w:sz w:val="24"/>
          <w:szCs w:val="24"/>
        </w:rPr>
        <w:t>Subaccount naming</w:t>
      </w:r>
    </w:p>
    <w:p w14:paraId="4197585E" w14:textId="77777777" w:rsidR="00F11D6A" w:rsidRPr="00A36733" w:rsidRDefault="00000000">
      <w:pPr>
        <w:rPr>
          <w:sz w:val="20"/>
          <w:szCs w:val="20"/>
        </w:rPr>
      </w:pPr>
      <w:r w:rsidRPr="00A36733">
        <w:rPr>
          <w:sz w:val="20"/>
          <w:szCs w:val="20"/>
        </w:rPr>
        <w:t>VALR permits only letters, numbers and spaces in subaccount names — no underscores, commas, full stops, ampersands or brackets. The agreed convention is therefore:</w:t>
      </w:r>
    </w:p>
    <w:tbl>
      <w:tblPr>
        <w:tblStyle w:val="LightGrid-Accent1"/>
        <w:tblW w:w="0" w:type="auto"/>
        <w:tblLook w:val="04A0" w:firstRow="1" w:lastRow="0" w:firstColumn="1" w:lastColumn="0" w:noHBand="0" w:noVBand="1"/>
      </w:tblPr>
      <w:tblGrid>
        <w:gridCol w:w="2873"/>
        <w:gridCol w:w="2873"/>
        <w:gridCol w:w="2874"/>
      </w:tblGrid>
      <w:tr w:rsidR="00F11D6A" w:rsidRPr="00A36733" w14:paraId="79F5B398" w14:textId="77777777" w:rsidTr="00F11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5D939" w14:textId="77777777" w:rsidR="00F11D6A" w:rsidRPr="00A36733" w:rsidRDefault="00000000">
            <w:pPr>
              <w:rPr>
                <w:sz w:val="20"/>
                <w:szCs w:val="20"/>
              </w:rPr>
            </w:pPr>
            <w:r w:rsidRPr="00A36733">
              <w:rPr>
                <w:sz w:val="20"/>
                <w:szCs w:val="20"/>
              </w:rPr>
              <w:t>Client type</w:t>
            </w:r>
          </w:p>
        </w:tc>
        <w:tc>
          <w:tcPr>
            <w:tcW w:w="2880" w:type="dxa"/>
          </w:tcPr>
          <w:p w14:paraId="550B600F" w14:textId="77777777" w:rsidR="00F11D6A" w:rsidRPr="00A36733"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A36733">
              <w:rPr>
                <w:sz w:val="20"/>
                <w:szCs w:val="20"/>
              </w:rPr>
              <w:t>Format</w:t>
            </w:r>
          </w:p>
        </w:tc>
        <w:tc>
          <w:tcPr>
            <w:tcW w:w="2880" w:type="dxa"/>
          </w:tcPr>
          <w:p w14:paraId="3070FF0F" w14:textId="77777777" w:rsidR="00F11D6A" w:rsidRPr="00A36733"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A36733">
              <w:rPr>
                <w:sz w:val="20"/>
                <w:szCs w:val="20"/>
              </w:rPr>
              <w:t>Example</w:t>
            </w:r>
          </w:p>
        </w:tc>
      </w:tr>
      <w:tr w:rsidR="00F11D6A" w:rsidRPr="00A36733" w14:paraId="0AA00A3E"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F7C38E" w14:textId="77777777" w:rsidR="00F11D6A" w:rsidRPr="00A36733" w:rsidRDefault="00000000">
            <w:pPr>
              <w:rPr>
                <w:sz w:val="20"/>
                <w:szCs w:val="20"/>
              </w:rPr>
            </w:pPr>
            <w:r w:rsidRPr="00A36733">
              <w:rPr>
                <w:sz w:val="20"/>
                <w:szCs w:val="20"/>
              </w:rPr>
              <w:t>Individual</w:t>
            </w:r>
          </w:p>
        </w:tc>
        <w:tc>
          <w:tcPr>
            <w:tcW w:w="2880" w:type="dxa"/>
          </w:tcPr>
          <w:p w14:paraId="791609CE"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rFonts w:ascii="Consolas" w:hAnsi="Consolas"/>
                <w:color w:val="444444"/>
                <w:sz w:val="18"/>
                <w:szCs w:val="20"/>
              </w:rPr>
              <w:t>BW Surname First name</w:t>
            </w:r>
          </w:p>
        </w:tc>
        <w:tc>
          <w:tcPr>
            <w:tcW w:w="2880" w:type="dxa"/>
          </w:tcPr>
          <w:p w14:paraId="5D832144"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rFonts w:ascii="Consolas" w:hAnsi="Consolas"/>
                <w:color w:val="444444"/>
                <w:sz w:val="18"/>
                <w:szCs w:val="20"/>
              </w:rPr>
              <w:t>BW Smith John</w:t>
            </w:r>
          </w:p>
        </w:tc>
      </w:tr>
      <w:tr w:rsidR="00F11D6A" w:rsidRPr="00A36733" w14:paraId="5D81AD76"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5AC83" w14:textId="77777777" w:rsidR="00F11D6A" w:rsidRPr="00A36733" w:rsidRDefault="00000000">
            <w:pPr>
              <w:rPr>
                <w:sz w:val="20"/>
                <w:szCs w:val="20"/>
              </w:rPr>
            </w:pPr>
            <w:r w:rsidRPr="00A36733">
              <w:rPr>
                <w:sz w:val="20"/>
                <w:szCs w:val="20"/>
              </w:rPr>
              <w:t>Entity</w:t>
            </w:r>
          </w:p>
        </w:tc>
        <w:tc>
          <w:tcPr>
            <w:tcW w:w="2880" w:type="dxa"/>
          </w:tcPr>
          <w:p w14:paraId="2CA7FC13"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rFonts w:ascii="Consolas" w:hAnsi="Consolas"/>
                <w:color w:val="444444"/>
                <w:sz w:val="18"/>
                <w:szCs w:val="20"/>
              </w:rPr>
              <w:t>BW Entity name</w:t>
            </w:r>
          </w:p>
        </w:tc>
        <w:tc>
          <w:tcPr>
            <w:tcW w:w="2880" w:type="dxa"/>
          </w:tcPr>
          <w:p w14:paraId="437E409D"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rFonts w:ascii="Consolas" w:hAnsi="Consolas"/>
                <w:color w:val="444444"/>
                <w:sz w:val="18"/>
                <w:szCs w:val="20"/>
              </w:rPr>
              <w:t>BW BitWealth Test Entity Pty Ltd</w:t>
            </w:r>
          </w:p>
        </w:tc>
      </w:tr>
    </w:tbl>
    <w:p w14:paraId="52E86D52" w14:textId="77777777" w:rsidR="00F11D6A" w:rsidRPr="00A36733" w:rsidRDefault="00F11D6A">
      <w:pPr>
        <w:rPr>
          <w:sz w:val="20"/>
          <w:szCs w:val="20"/>
        </w:rPr>
      </w:pPr>
    </w:p>
    <w:p w14:paraId="39B6BA62" w14:textId="77777777" w:rsidR="00F11D6A" w:rsidRPr="00A36733" w:rsidRDefault="00000000">
      <w:pPr>
        <w:rPr>
          <w:sz w:val="20"/>
          <w:szCs w:val="20"/>
        </w:rPr>
      </w:pPr>
      <w:r w:rsidRPr="00A36733">
        <w:rPr>
          <w:sz w:val="20"/>
          <w:szCs w:val="20"/>
        </w:rPr>
        <w:t xml:space="preserve">Punctuation in company names such as </w:t>
      </w:r>
      <w:r w:rsidRPr="00A36733">
        <w:rPr>
          <w:rFonts w:ascii="Consolas" w:hAnsi="Consolas"/>
          <w:color w:val="444444"/>
          <w:sz w:val="18"/>
          <w:szCs w:val="20"/>
        </w:rPr>
        <w:t>(Pty) Ltd</w:t>
      </w:r>
      <w:r w:rsidRPr="00A36733">
        <w:rPr>
          <w:sz w:val="20"/>
          <w:szCs w:val="20"/>
        </w:rPr>
        <w:t xml:space="preserve"> is simply removed. </w:t>
      </w:r>
      <w:r w:rsidRPr="00A36733">
        <w:rPr>
          <w:b/>
          <w:sz w:val="20"/>
          <w:szCs w:val="20"/>
        </w:rPr>
        <w:t>The portal will display the exact name to use for each client, ready to copy</w:t>
      </w:r>
      <w:r w:rsidRPr="00A36733">
        <w:rPr>
          <w:sz w:val="20"/>
          <w:szCs w:val="20"/>
        </w:rPr>
        <w:t xml:space="preserve"> — Finova does not need to apply these rules manually.</w:t>
      </w:r>
    </w:p>
    <w:p w14:paraId="3219020B" w14:textId="77777777" w:rsidR="00F11D6A" w:rsidRPr="00A36733" w:rsidRDefault="00000000">
      <w:pPr>
        <w:pStyle w:val="Heading2"/>
        <w:rPr>
          <w:sz w:val="24"/>
          <w:szCs w:val="24"/>
        </w:rPr>
      </w:pPr>
      <w:r w:rsidRPr="00A36733">
        <w:rPr>
          <w:color w:val="0A2E4D"/>
          <w:sz w:val="24"/>
          <w:szCs w:val="24"/>
        </w:rPr>
        <w:t>What Finova gets</w:t>
      </w:r>
    </w:p>
    <w:p w14:paraId="04701B91" w14:textId="77777777" w:rsidR="00F11D6A" w:rsidRPr="00A36733" w:rsidRDefault="00000000">
      <w:pPr>
        <w:rPr>
          <w:sz w:val="20"/>
          <w:szCs w:val="20"/>
        </w:rPr>
      </w:pPr>
      <w:r w:rsidRPr="00A36733">
        <w:rPr>
          <w:sz w:val="20"/>
          <w:szCs w:val="20"/>
        </w:rPr>
        <w:t>A secure web portal (</w:t>
      </w:r>
      <w:r w:rsidRPr="00A36733">
        <w:rPr>
          <w:rFonts w:ascii="Consolas" w:hAnsi="Consolas"/>
          <w:color w:val="444444"/>
          <w:sz w:val="18"/>
          <w:szCs w:val="20"/>
        </w:rPr>
        <w:t>portal.bitwealth.co.za/partner</w:t>
      </w:r>
      <w:r w:rsidRPr="00A36733">
        <w:rPr>
          <w:sz w:val="20"/>
          <w:szCs w:val="20"/>
        </w:rPr>
        <w:t>), separate from BitWealth's client and admin systems.</w:t>
      </w:r>
    </w:p>
    <w:p w14:paraId="5BDE4CA9" w14:textId="77777777" w:rsidR="00F11D6A" w:rsidRPr="00A36733" w:rsidRDefault="00000000">
      <w:pPr>
        <w:pStyle w:val="ListBullet"/>
        <w:rPr>
          <w:sz w:val="20"/>
          <w:szCs w:val="20"/>
        </w:rPr>
      </w:pPr>
      <w:r w:rsidRPr="00A36733">
        <w:rPr>
          <w:sz w:val="20"/>
          <w:szCs w:val="20"/>
        </w:rPr>
        <w:t>Individual named logins — no shared accounts</w:t>
      </w:r>
    </w:p>
    <w:p w14:paraId="7A2FD811" w14:textId="77777777" w:rsidR="00F11D6A" w:rsidRPr="00A36733" w:rsidRDefault="00000000">
      <w:pPr>
        <w:pStyle w:val="ListBullet"/>
        <w:rPr>
          <w:sz w:val="20"/>
          <w:szCs w:val="20"/>
        </w:rPr>
      </w:pPr>
      <w:r w:rsidRPr="00A36733">
        <w:rPr>
          <w:b/>
          <w:sz w:val="20"/>
          <w:szCs w:val="20"/>
        </w:rPr>
        <w:t>Two-factor authentication is mandatory</w:t>
      </w:r>
      <w:r w:rsidRPr="00A36733">
        <w:rPr>
          <w:sz w:val="20"/>
          <w:szCs w:val="20"/>
        </w:rPr>
        <w:t xml:space="preserve"> (authenticator app)</w:t>
      </w:r>
    </w:p>
    <w:p w14:paraId="2724BF56" w14:textId="77777777" w:rsidR="00F11D6A" w:rsidRPr="00A36733" w:rsidRDefault="00000000">
      <w:pPr>
        <w:pStyle w:val="ListBullet"/>
        <w:rPr>
          <w:sz w:val="20"/>
          <w:szCs w:val="20"/>
        </w:rPr>
      </w:pPr>
      <w:r w:rsidRPr="00A36733">
        <w:rPr>
          <w:sz w:val="20"/>
          <w:szCs w:val="20"/>
        </w:rPr>
        <w:t>Every action is logged with user, timestamp and IP, and is visible to Finova</w:t>
      </w:r>
    </w:p>
    <w:p w14:paraId="47CD11EB" w14:textId="77777777" w:rsidR="00F11D6A" w:rsidRPr="00A36733" w:rsidRDefault="00000000">
      <w:pPr>
        <w:pStyle w:val="Heading2"/>
        <w:rPr>
          <w:sz w:val="24"/>
          <w:szCs w:val="24"/>
        </w:rPr>
      </w:pPr>
      <w:r w:rsidRPr="00A36733">
        <w:rPr>
          <w:color w:val="0A2E4D"/>
          <w:sz w:val="24"/>
          <w:szCs w:val="24"/>
        </w:rPr>
        <w:t>Workflow 1 — New client subaccount</w:t>
      </w:r>
    </w:p>
    <w:p w14:paraId="21354FBF" w14:textId="77777777" w:rsidR="00F11D6A" w:rsidRPr="00A36733" w:rsidRDefault="00000000">
      <w:pPr>
        <w:rPr>
          <w:sz w:val="20"/>
          <w:szCs w:val="20"/>
        </w:rPr>
      </w:pPr>
      <w:r w:rsidRPr="00A36733">
        <w:rPr>
          <w:b/>
          <w:sz w:val="20"/>
          <w:szCs w:val="20"/>
        </w:rPr>
        <w:t>Trigger.</w:t>
      </w:r>
      <w:r w:rsidRPr="00A36733">
        <w:rPr>
          <w:sz w:val="20"/>
          <w:szCs w:val="20"/>
        </w:rPr>
        <w:t xml:space="preserve"> A client completes Finova KYC, BitWealth confirms their strategy, and the client's bank confirmation is on file. BitWealth emails Finova's nominated address; the task also appears in the portal.</w:t>
      </w:r>
    </w:p>
    <w:p w14:paraId="15411108" w14:textId="77777777" w:rsidR="00F11D6A" w:rsidRPr="00A36733" w:rsidRDefault="00000000">
      <w:pPr>
        <w:rPr>
          <w:sz w:val="20"/>
          <w:szCs w:val="20"/>
        </w:rPr>
      </w:pPr>
      <w:r w:rsidRPr="00A36733">
        <w:rPr>
          <w:b/>
          <w:sz w:val="20"/>
          <w:szCs w:val="20"/>
        </w:rPr>
        <w:t>What Finova sees:</w:t>
      </w:r>
      <w:r w:rsidRPr="00A36733">
        <w:rPr>
          <w:sz w:val="20"/>
          <w:szCs w:val="20"/>
        </w:rPr>
        <w:t xml:space="preserve"> client name, BitWealth client reference, individual or entity, date requested, and the exact subaccount name to use.</w:t>
      </w:r>
    </w:p>
    <w:p w14:paraId="7C370DAF" w14:textId="77777777" w:rsidR="00F11D6A" w:rsidRPr="00A36733" w:rsidRDefault="00000000">
      <w:pPr>
        <w:jc w:val="center"/>
        <w:rPr>
          <w:sz w:val="20"/>
          <w:szCs w:val="20"/>
        </w:rPr>
      </w:pPr>
      <w:r w:rsidRPr="00A36733">
        <w:rPr>
          <w:b/>
          <w:sz w:val="20"/>
          <w:szCs w:val="20"/>
        </w:rPr>
        <w:lastRenderedPageBreak/>
        <w:t>What Finova does — three parts, all required:</w:t>
      </w:r>
    </w:p>
    <w:p w14:paraId="6714F21A" w14:textId="77777777" w:rsidR="00F11D6A" w:rsidRPr="00A36733" w:rsidRDefault="00000000">
      <w:pPr>
        <w:rPr>
          <w:sz w:val="20"/>
          <w:szCs w:val="20"/>
        </w:rPr>
      </w:pPr>
      <w:r w:rsidRPr="00A36733">
        <w:rPr>
          <w:b/>
          <w:sz w:val="20"/>
          <w:szCs w:val="20"/>
        </w:rPr>
        <w:t>A. Create the subaccount in VALR</w:t>
      </w:r>
      <w:r w:rsidRPr="00A36733">
        <w:rPr>
          <w:sz w:val="20"/>
          <w:szCs w:val="20"/>
        </w:rPr>
        <w:t>, using the name shown in the portal.</w:t>
      </w:r>
    </w:p>
    <w:p w14:paraId="2998AF48" w14:textId="77777777" w:rsidR="00F11D6A" w:rsidRPr="00A36733" w:rsidRDefault="00000000">
      <w:pPr>
        <w:rPr>
          <w:sz w:val="20"/>
          <w:szCs w:val="20"/>
        </w:rPr>
      </w:pPr>
      <w:r w:rsidRPr="00A36733">
        <w:rPr>
          <w:b/>
          <w:sz w:val="20"/>
          <w:szCs w:val="20"/>
        </w:rPr>
        <w:t>B. Link the client's bank account</w:t>
      </w:r>
      <w:r w:rsidRPr="00A36733">
        <w:rPr>
          <w:sz w:val="20"/>
          <w:szCs w:val="20"/>
        </w:rPr>
        <w:t xml:space="preserve"> to that subaccount within Finova's VALR corporate account, using the bank details Finova holds from onboarding. Without this, ZAR payouts cannot be made later.</w:t>
      </w:r>
    </w:p>
    <w:p w14:paraId="61891CD8" w14:textId="77777777" w:rsidR="00F11D6A" w:rsidRPr="00A36733" w:rsidRDefault="00000000">
      <w:pPr>
        <w:jc w:val="center"/>
        <w:rPr>
          <w:sz w:val="20"/>
          <w:szCs w:val="20"/>
        </w:rPr>
      </w:pPr>
      <w:r w:rsidRPr="00A36733">
        <w:rPr>
          <w:b/>
          <w:sz w:val="20"/>
          <w:szCs w:val="20"/>
        </w:rPr>
        <w:t>C. Complete the portal form:</w:t>
      </w:r>
    </w:p>
    <w:tbl>
      <w:tblPr>
        <w:tblStyle w:val="LightGrid-Accent1"/>
        <w:tblW w:w="0" w:type="auto"/>
        <w:tblLook w:val="04A0" w:firstRow="1" w:lastRow="0" w:firstColumn="1" w:lastColumn="0" w:noHBand="0" w:noVBand="1"/>
      </w:tblPr>
      <w:tblGrid>
        <w:gridCol w:w="4310"/>
        <w:gridCol w:w="4310"/>
      </w:tblGrid>
      <w:tr w:rsidR="00F11D6A" w:rsidRPr="00A36733" w14:paraId="39F62FD1" w14:textId="77777777" w:rsidTr="00F11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247371" w14:textId="77777777" w:rsidR="00F11D6A" w:rsidRPr="00A36733" w:rsidRDefault="00000000">
            <w:pPr>
              <w:rPr>
                <w:sz w:val="20"/>
                <w:szCs w:val="20"/>
              </w:rPr>
            </w:pPr>
            <w:r w:rsidRPr="00A36733">
              <w:rPr>
                <w:sz w:val="20"/>
                <w:szCs w:val="20"/>
              </w:rPr>
              <w:t>Field</w:t>
            </w:r>
          </w:p>
        </w:tc>
        <w:tc>
          <w:tcPr>
            <w:tcW w:w="4320" w:type="dxa"/>
          </w:tcPr>
          <w:p w14:paraId="656DA23F" w14:textId="77777777" w:rsidR="00F11D6A" w:rsidRPr="00A36733"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A36733">
              <w:rPr>
                <w:sz w:val="20"/>
                <w:szCs w:val="20"/>
              </w:rPr>
              <w:t>Notes</w:t>
            </w:r>
          </w:p>
        </w:tc>
      </w:tr>
      <w:tr w:rsidR="00F11D6A" w:rsidRPr="00A36733" w14:paraId="2A19A13E"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5321A" w14:textId="77777777" w:rsidR="00F11D6A" w:rsidRPr="00A36733" w:rsidRDefault="00000000">
            <w:pPr>
              <w:rPr>
                <w:sz w:val="20"/>
                <w:szCs w:val="20"/>
              </w:rPr>
            </w:pPr>
            <w:r w:rsidRPr="00A36733">
              <w:rPr>
                <w:sz w:val="20"/>
                <w:szCs w:val="20"/>
              </w:rPr>
              <w:t>Subaccount name</w:t>
            </w:r>
          </w:p>
        </w:tc>
        <w:tc>
          <w:tcPr>
            <w:tcW w:w="4320" w:type="dxa"/>
          </w:tcPr>
          <w:p w14:paraId="5AAFECBB"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As created</w:t>
            </w:r>
          </w:p>
        </w:tc>
      </w:tr>
      <w:tr w:rsidR="00F11D6A" w:rsidRPr="00A36733" w14:paraId="4754D545"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4BA329" w14:textId="77777777" w:rsidR="00F11D6A" w:rsidRPr="00A36733" w:rsidRDefault="00000000">
            <w:pPr>
              <w:rPr>
                <w:sz w:val="20"/>
                <w:szCs w:val="20"/>
              </w:rPr>
            </w:pPr>
            <w:r w:rsidRPr="00A36733">
              <w:rPr>
                <w:sz w:val="20"/>
                <w:szCs w:val="20"/>
              </w:rPr>
              <w:t>ZAR deposit reference</w:t>
            </w:r>
          </w:p>
        </w:tc>
        <w:tc>
          <w:tcPr>
            <w:tcW w:w="4320" w:type="dxa"/>
          </w:tcPr>
          <w:p w14:paraId="54BF3B5A"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 xml:space="preserve">The reference the client must use when depositing ZAR. </w:t>
            </w:r>
            <w:r w:rsidRPr="00A36733">
              <w:rPr>
                <w:b/>
                <w:sz w:val="20"/>
                <w:szCs w:val="20"/>
              </w:rPr>
              <w:t>BitWealth cannot see this</w:t>
            </w:r>
            <w:r w:rsidRPr="00A36733">
              <w:rPr>
                <w:sz w:val="20"/>
                <w:szCs w:val="20"/>
              </w:rPr>
              <w:t xml:space="preserve"> — it exists only inside Finova's VALR account. We pass it to the client.</w:t>
            </w:r>
          </w:p>
        </w:tc>
      </w:tr>
      <w:tr w:rsidR="00F11D6A" w:rsidRPr="00A36733" w14:paraId="65ACE9DB"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868F49" w14:textId="77777777" w:rsidR="00F11D6A" w:rsidRPr="00A36733" w:rsidRDefault="00000000">
            <w:pPr>
              <w:rPr>
                <w:sz w:val="20"/>
                <w:szCs w:val="20"/>
              </w:rPr>
            </w:pPr>
            <w:r w:rsidRPr="00A36733">
              <w:rPr>
                <w:sz w:val="20"/>
                <w:szCs w:val="20"/>
              </w:rPr>
              <w:t>API key name</w:t>
            </w:r>
          </w:p>
        </w:tc>
        <w:tc>
          <w:tcPr>
            <w:tcW w:w="4320" w:type="dxa"/>
          </w:tcPr>
          <w:p w14:paraId="7133A77A"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As created in VALR</w:t>
            </w:r>
          </w:p>
        </w:tc>
      </w:tr>
      <w:tr w:rsidR="00F11D6A" w:rsidRPr="00A36733" w14:paraId="235916D8"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945E2F" w14:textId="77777777" w:rsidR="00F11D6A" w:rsidRPr="00A36733" w:rsidRDefault="00000000">
            <w:pPr>
              <w:rPr>
                <w:sz w:val="20"/>
                <w:szCs w:val="20"/>
              </w:rPr>
            </w:pPr>
            <w:r w:rsidRPr="00A36733">
              <w:rPr>
                <w:sz w:val="20"/>
                <w:szCs w:val="20"/>
              </w:rPr>
              <w:t>API key</w:t>
            </w:r>
          </w:p>
        </w:tc>
        <w:tc>
          <w:tcPr>
            <w:tcW w:w="4320" w:type="dxa"/>
          </w:tcPr>
          <w:p w14:paraId="17EE12EF"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View + Trade + Transfer, no Withdraw</w:t>
            </w:r>
          </w:p>
        </w:tc>
      </w:tr>
      <w:tr w:rsidR="00F11D6A" w:rsidRPr="00A36733" w14:paraId="77896237"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CE22E7" w14:textId="77777777" w:rsidR="00F11D6A" w:rsidRPr="00A36733" w:rsidRDefault="00000000">
            <w:pPr>
              <w:rPr>
                <w:sz w:val="20"/>
                <w:szCs w:val="20"/>
              </w:rPr>
            </w:pPr>
            <w:r w:rsidRPr="00A36733">
              <w:rPr>
                <w:sz w:val="20"/>
                <w:szCs w:val="20"/>
              </w:rPr>
              <w:t>API secret</w:t>
            </w:r>
          </w:p>
        </w:tc>
        <w:tc>
          <w:tcPr>
            <w:tcW w:w="4320" w:type="dxa"/>
          </w:tcPr>
          <w:p w14:paraId="1E1DC7DE"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Entered once, never displayed again</w:t>
            </w:r>
          </w:p>
        </w:tc>
      </w:tr>
      <w:tr w:rsidR="00F11D6A" w:rsidRPr="00A36733" w14:paraId="14656F52"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89DEA0" w14:textId="77777777" w:rsidR="00F11D6A" w:rsidRPr="00A36733" w:rsidRDefault="00000000">
            <w:pPr>
              <w:rPr>
                <w:sz w:val="20"/>
                <w:szCs w:val="20"/>
              </w:rPr>
            </w:pPr>
            <w:r w:rsidRPr="00A36733">
              <w:rPr>
                <w:sz w:val="20"/>
                <w:szCs w:val="20"/>
              </w:rPr>
              <w:t>Bank account linked</w:t>
            </w:r>
          </w:p>
        </w:tc>
        <w:tc>
          <w:tcPr>
            <w:tcW w:w="4320" w:type="dxa"/>
          </w:tcPr>
          <w:p w14:paraId="002E89B4"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Confirmation tick</w:t>
            </w:r>
          </w:p>
        </w:tc>
      </w:tr>
    </w:tbl>
    <w:p w14:paraId="126C67B9" w14:textId="77777777" w:rsidR="00F11D6A" w:rsidRPr="00A36733" w:rsidRDefault="00F11D6A">
      <w:pPr>
        <w:rPr>
          <w:sz w:val="20"/>
          <w:szCs w:val="20"/>
        </w:rPr>
      </w:pPr>
    </w:p>
    <w:p w14:paraId="63D3D843" w14:textId="77777777" w:rsidR="00F11D6A" w:rsidRPr="00A36733" w:rsidRDefault="00000000">
      <w:pPr>
        <w:rPr>
          <w:sz w:val="20"/>
          <w:szCs w:val="20"/>
        </w:rPr>
      </w:pPr>
      <w:r w:rsidRPr="00A36733">
        <w:rPr>
          <w:sz w:val="20"/>
          <w:szCs w:val="20"/>
        </w:rPr>
        <w:t>The form cannot be submitted until every field is complete.</w:t>
      </w:r>
    </w:p>
    <w:p w14:paraId="511C6D3E" w14:textId="77777777" w:rsidR="00F11D6A" w:rsidRPr="00A36733" w:rsidRDefault="00000000">
      <w:pPr>
        <w:jc w:val="center"/>
        <w:rPr>
          <w:sz w:val="20"/>
          <w:szCs w:val="20"/>
        </w:rPr>
      </w:pPr>
      <w:r w:rsidRPr="00A36733">
        <w:rPr>
          <w:b/>
          <w:sz w:val="20"/>
          <w:szCs w:val="20"/>
        </w:rPr>
        <w:t>What happens next — automatically, within seconds:</w:t>
      </w:r>
    </w:p>
    <w:p w14:paraId="4A97CCF2" w14:textId="77777777" w:rsidR="00F11D6A" w:rsidRPr="00A36733" w:rsidRDefault="00000000">
      <w:pPr>
        <w:pStyle w:val="ListBullet"/>
        <w:rPr>
          <w:sz w:val="20"/>
          <w:szCs w:val="20"/>
        </w:rPr>
      </w:pPr>
      <w:r w:rsidRPr="00A36733">
        <w:rPr>
          <w:sz w:val="20"/>
          <w:szCs w:val="20"/>
        </w:rPr>
        <w:t>BitWealth tests the key against VALR to confirm it works</w:t>
      </w:r>
    </w:p>
    <w:p w14:paraId="3C9E4F8F" w14:textId="77777777" w:rsidR="00F11D6A" w:rsidRPr="00A36733" w:rsidRDefault="00000000">
      <w:pPr>
        <w:pStyle w:val="ListBullet"/>
        <w:rPr>
          <w:sz w:val="20"/>
          <w:szCs w:val="20"/>
        </w:rPr>
      </w:pPr>
      <w:r w:rsidRPr="00A36733">
        <w:rPr>
          <w:sz w:val="20"/>
          <w:szCs w:val="20"/>
        </w:rPr>
        <w:t xml:space="preserve">BitWealth confirms permissions are correct, and </w:t>
      </w:r>
      <w:r w:rsidRPr="00A36733">
        <w:rPr>
          <w:b/>
          <w:sz w:val="20"/>
          <w:szCs w:val="20"/>
        </w:rPr>
        <w:t>rejects the key if Withdraw is enabled</w:t>
      </w:r>
    </w:p>
    <w:p w14:paraId="205EED27" w14:textId="77777777" w:rsidR="00F11D6A" w:rsidRPr="00A36733" w:rsidRDefault="00000000">
      <w:pPr>
        <w:pStyle w:val="ListBullet"/>
        <w:rPr>
          <w:sz w:val="20"/>
          <w:szCs w:val="20"/>
        </w:rPr>
      </w:pPr>
      <w:r w:rsidRPr="00A36733">
        <w:rPr>
          <w:sz w:val="20"/>
          <w:szCs w:val="20"/>
        </w:rPr>
        <w:t>BitWealth confirms the key is not already linked to a different client</w:t>
      </w:r>
    </w:p>
    <w:p w14:paraId="74BCC097" w14:textId="77777777" w:rsidR="00F11D6A" w:rsidRPr="00A36733" w:rsidRDefault="00000000">
      <w:pPr>
        <w:pStyle w:val="ListBullet"/>
        <w:rPr>
          <w:sz w:val="20"/>
          <w:szCs w:val="20"/>
        </w:rPr>
      </w:pPr>
      <w:r w:rsidRPr="00A36733">
        <w:rPr>
          <w:sz w:val="20"/>
          <w:szCs w:val="20"/>
        </w:rPr>
        <w:t>The key and secret are encrypted at rest and never displayed again, to anyone</w:t>
      </w:r>
    </w:p>
    <w:p w14:paraId="08354F61" w14:textId="77777777" w:rsidR="00F11D6A" w:rsidRPr="00A36733" w:rsidRDefault="00000000">
      <w:pPr>
        <w:pStyle w:val="ListBullet"/>
        <w:rPr>
          <w:sz w:val="20"/>
          <w:szCs w:val="20"/>
        </w:rPr>
      </w:pPr>
      <w:r w:rsidRPr="00A36733">
        <w:rPr>
          <w:sz w:val="20"/>
          <w:szCs w:val="20"/>
        </w:rPr>
        <w:t>Finova sees a clear pass or fail message immediately; BitWealth is notified either way</w:t>
      </w:r>
    </w:p>
    <w:p w14:paraId="0032ECB9" w14:textId="77777777" w:rsidR="00F11D6A" w:rsidRPr="00A36733" w:rsidRDefault="00000000">
      <w:pPr>
        <w:rPr>
          <w:sz w:val="20"/>
          <w:szCs w:val="20"/>
        </w:rPr>
      </w:pPr>
      <w:r w:rsidRPr="00A36733">
        <w:rPr>
          <w:sz w:val="20"/>
          <w:szCs w:val="20"/>
        </w:rPr>
        <w:t>The client cannot receive deposit instructions until this step succeeds. Once it does, BitWealth issues the client Finova's VALR banking details together with the deposit reference Finova supplied.</w:t>
      </w:r>
    </w:p>
    <w:p w14:paraId="3CB01653" w14:textId="77777777" w:rsidR="00F11D6A" w:rsidRPr="00A36733" w:rsidRDefault="00000000">
      <w:pPr>
        <w:pStyle w:val="Heading2"/>
        <w:rPr>
          <w:sz w:val="24"/>
          <w:szCs w:val="24"/>
        </w:rPr>
      </w:pPr>
      <w:r w:rsidRPr="00A36733">
        <w:rPr>
          <w:color w:val="0A2E4D"/>
          <w:sz w:val="24"/>
          <w:szCs w:val="24"/>
        </w:rPr>
        <w:t>Workflow 2 — Client withdrawal</w:t>
      </w:r>
    </w:p>
    <w:p w14:paraId="4A5552EF" w14:textId="77777777" w:rsidR="00F11D6A" w:rsidRPr="00A36733" w:rsidRDefault="00000000">
      <w:pPr>
        <w:rPr>
          <w:sz w:val="20"/>
          <w:szCs w:val="20"/>
        </w:rPr>
      </w:pPr>
      <w:r w:rsidRPr="00A36733">
        <w:rPr>
          <w:b/>
          <w:sz w:val="20"/>
          <w:szCs w:val="20"/>
        </w:rPr>
        <w:t>Trigger.</w:t>
      </w:r>
      <w:r w:rsidRPr="00A36733">
        <w:rPr>
          <w:sz w:val="20"/>
          <w:szCs w:val="20"/>
        </w:rPr>
        <w:t xml:space="preserve"> A client requests a withdrawal in the BitWealth portal. </w:t>
      </w:r>
      <w:r w:rsidRPr="00A36733">
        <w:rPr>
          <w:b/>
          <w:sz w:val="20"/>
          <w:szCs w:val="20"/>
        </w:rPr>
        <w:t>All withdrawals are ZAR to the client's own bank account.</w:t>
      </w:r>
      <w:r w:rsidRPr="00A36733">
        <w:rPr>
          <w:sz w:val="20"/>
          <w:szCs w:val="20"/>
        </w:rPr>
        <w:t xml:space="preserve"> Clients cannot send cryptocurrency to external wallets.</w:t>
      </w:r>
    </w:p>
    <w:p w14:paraId="465B6873" w14:textId="77777777" w:rsidR="00F11D6A" w:rsidRPr="00A36733" w:rsidRDefault="00000000">
      <w:pPr>
        <w:rPr>
          <w:sz w:val="20"/>
          <w:szCs w:val="20"/>
        </w:rPr>
      </w:pPr>
      <w:r w:rsidRPr="00A36733">
        <w:rPr>
          <w:b/>
          <w:sz w:val="20"/>
          <w:szCs w:val="20"/>
        </w:rPr>
        <w:t>BitWealth does automatically:</w:t>
      </w:r>
      <w:r w:rsidRPr="00A36733">
        <w:rPr>
          <w:sz w:val="20"/>
          <w:szCs w:val="20"/>
        </w:rPr>
        <w:t xml:space="preserve"> applies any fees due, sells the required Bitcoin/USDT and converts to ZAR inside the client's subaccount. The ZAR then sits in that subaccount awaiting Finova.</w:t>
      </w:r>
    </w:p>
    <w:p w14:paraId="3BC2E483" w14:textId="77777777" w:rsidR="00F11D6A" w:rsidRPr="00A36733" w:rsidRDefault="00000000">
      <w:pPr>
        <w:rPr>
          <w:sz w:val="20"/>
          <w:szCs w:val="20"/>
        </w:rPr>
      </w:pPr>
      <w:r w:rsidRPr="00A36733">
        <w:rPr>
          <w:b/>
          <w:sz w:val="20"/>
          <w:szCs w:val="20"/>
        </w:rPr>
        <w:t>Finova is emailed and the item appears in the portal</w:t>
      </w:r>
      <w:r w:rsidRPr="00A36733">
        <w:rPr>
          <w:sz w:val="20"/>
          <w:szCs w:val="20"/>
        </w:rPr>
        <w:t>, showing: client name, BitWealth client reference, subaccount name, exact ZAR amount to pay, and date requested.</w:t>
      </w:r>
    </w:p>
    <w:p w14:paraId="3EC53C2C" w14:textId="77777777" w:rsidR="00F11D6A" w:rsidRPr="00A36733" w:rsidRDefault="00000000">
      <w:pPr>
        <w:jc w:val="center"/>
        <w:rPr>
          <w:sz w:val="20"/>
          <w:szCs w:val="20"/>
        </w:rPr>
      </w:pPr>
      <w:r w:rsidRPr="00A36733">
        <w:rPr>
          <w:b/>
          <w:sz w:val="20"/>
          <w:szCs w:val="20"/>
        </w:rPr>
        <w:t>What Finova does:</w:t>
      </w:r>
    </w:p>
    <w:p w14:paraId="2FA241DF" w14:textId="77777777" w:rsidR="00F11D6A" w:rsidRPr="00A36733" w:rsidRDefault="00000000" w:rsidP="00A36733">
      <w:pPr>
        <w:pStyle w:val="ListNumber"/>
        <w:numPr>
          <w:ilvl w:val="0"/>
          <w:numId w:val="10"/>
        </w:numPr>
        <w:rPr>
          <w:sz w:val="20"/>
          <w:szCs w:val="20"/>
        </w:rPr>
      </w:pPr>
      <w:r w:rsidRPr="00A36733">
        <w:rPr>
          <w:sz w:val="20"/>
          <w:szCs w:val="20"/>
        </w:rPr>
        <w:t>Perform normal internal authorisation</w:t>
      </w:r>
    </w:p>
    <w:p w14:paraId="7EC5D256" w14:textId="77777777" w:rsidR="00F11D6A" w:rsidRPr="00A36733" w:rsidRDefault="00000000">
      <w:pPr>
        <w:pStyle w:val="ListNumber"/>
        <w:rPr>
          <w:sz w:val="20"/>
          <w:szCs w:val="20"/>
        </w:rPr>
      </w:pPr>
      <w:r w:rsidRPr="00A36733">
        <w:rPr>
          <w:sz w:val="20"/>
          <w:szCs w:val="20"/>
        </w:rPr>
        <w:t>In VALR, withdraw the stated ZAR amount from that subaccount to the client's linked bank account</w:t>
      </w:r>
    </w:p>
    <w:p w14:paraId="062334A4" w14:textId="77777777" w:rsidR="00F11D6A" w:rsidRPr="00A36733" w:rsidRDefault="00000000">
      <w:pPr>
        <w:pStyle w:val="ListNumber"/>
        <w:rPr>
          <w:sz w:val="20"/>
          <w:szCs w:val="20"/>
        </w:rPr>
      </w:pPr>
      <w:r w:rsidRPr="00A36733">
        <w:rPr>
          <w:sz w:val="20"/>
          <w:szCs w:val="20"/>
        </w:rPr>
        <w:t>Mark the item complete in the portal</w:t>
      </w:r>
    </w:p>
    <w:p w14:paraId="0FA733C0" w14:textId="31EEF8B2" w:rsidR="00F11D6A" w:rsidRPr="00A36733" w:rsidRDefault="00000000">
      <w:pPr>
        <w:jc w:val="center"/>
        <w:rPr>
          <w:sz w:val="20"/>
          <w:szCs w:val="20"/>
        </w:rPr>
      </w:pPr>
      <w:r w:rsidRPr="00A36733">
        <w:rPr>
          <w:b/>
          <w:sz w:val="20"/>
          <w:szCs w:val="20"/>
        </w:rPr>
        <w:lastRenderedPageBreak/>
        <w:t>What happens next — automatically:</w:t>
      </w:r>
      <w:r w:rsidRPr="00A36733">
        <w:rPr>
          <w:sz w:val="20"/>
          <w:szCs w:val="20"/>
        </w:rPr>
        <w:t xml:space="preserve"> BitWealth queries VALR, confirms a matching ZAR withdrawal of the expected amount, updates the client's records and notifies the client. If no matching withdrawal is found, BitWealth raises an internal alert and contacts </w:t>
      </w:r>
      <w:proofErr w:type="spellStart"/>
      <w:r w:rsidRPr="00A36733">
        <w:rPr>
          <w:sz w:val="20"/>
          <w:szCs w:val="20"/>
        </w:rPr>
        <w:t>Finova</w:t>
      </w:r>
      <w:proofErr w:type="spellEnd"/>
      <w:r w:rsidRPr="00A36733">
        <w:rPr>
          <w:bCs/>
          <w:sz w:val="20"/>
          <w:szCs w:val="20"/>
        </w:rPr>
        <w:t>.</w:t>
      </w:r>
    </w:p>
    <w:p w14:paraId="1C78FAC2" w14:textId="77777777" w:rsidR="00F11D6A" w:rsidRPr="00A36733" w:rsidRDefault="00000000">
      <w:pPr>
        <w:rPr>
          <w:sz w:val="20"/>
          <w:szCs w:val="20"/>
        </w:rPr>
      </w:pPr>
      <w:r w:rsidRPr="00A36733">
        <w:rPr>
          <w:sz w:val="20"/>
          <w:szCs w:val="20"/>
        </w:rPr>
        <w:t>Client banking details are not shown in the portal, as Finova already holds them from onboarding and links them at setup.</w:t>
      </w:r>
    </w:p>
    <w:p w14:paraId="6838AC2E" w14:textId="77777777" w:rsidR="00F11D6A" w:rsidRPr="00A36733" w:rsidRDefault="00000000">
      <w:pPr>
        <w:pStyle w:val="Heading2"/>
        <w:rPr>
          <w:sz w:val="24"/>
          <w:szCs w:val="24"/>
        </w:rPr>
      </w:pPr>
      <w:r w:rsidRPr="00A36733">
        <w:rPr>
          <w:color w:val="0A2E4D"/>
          <w:sz w:val="24"/>
          <w:szCs w:val="24"/>
        </w:rPr>
        <w:t>Bank account changes</w:t>
      </w:r>
    </w:p>
    <w:p w14:paraId="61325A65" w14:textId="77777777" w:rsidR="00F11D6A" w:rsidRPr="00A36733" w:rsidRDefault="00000000">
      <w:pPr>
        <w:rPr>
          <w:sz w:val="20"/>
          <w:szCs w:val="20"/>
        </w:rPr>
      </w:pPr>
      <w:r w:rsidRPr="00A36733">
        <w:rPr>
          <w:sz w:val="20"/>
          <w:szCs w:val="20"/>
        </w:rPr>
        <w:t>If a client changes bank account, BitWealth raises a re-link task in the portal. Finova updates the linked account in VALR and confirms. Withdrawals are held until this is done.</w:t>
      </w:r>
    </w:p>
    <w:p w14:paraId="63C2ADEE" w14:textId="77777777" w:rsidR="00F11D6A" w:rsidRPr="00A36733" w:rsidRDefault="00000000">
      <w:pPr>
        <w:pStyle w:val="Heading2"/>
        <w:rPr>
          <w:sz w:val="24"/>
          <w:szCs w:val="24"/>
        </w:rPr>
      </w:pPr>
      <w:r w:rsidRPr="00A36733">
        <w:rPr>
          <w:color w:val="0A2E4D"/>
          <w:sz w:val="24"/>
          <w:szCs w:val="24"/>
        </w:rPr>
        <w:t>Fees</w:t>
      </w:r>
    </w:p>
    <w:p w14:paraId="3E976A1D" w14:textId="77777777" w:rsidR="00F11D6A" w:rsidRPr="00A36733" w:rsidRDefault="00000000">
      <w:pPr>
        <w:rPr>
          <w:sz w:val="20"/>
          <w:szCs w:val="20"/>
        </w:rPr>
      </w:pPr>
      <w:r w:rsidRPr="00A36733">
        <w:rPr>
          <w:sz w:val="20"/>
          <w:szCs w:val="20"/>
        </w:rPr>
        <w:t xml:space="preserve">BitWealth's management and performance fees are transferred automatically from each client subaccount to Finova's main account using the Transfer permission. BitWealth then issues Finova a </w:t>
      </w:r>
      <w:r w:rsidRPr="00A36733">
        <w:rPr>
          <w:b/>
          <w:sz w:val="20"/>
          <w:szCs w:val="20"/>
        </w:rPr>
        <w:t>single consolidated invoice each month</w:t>
      </w:r>
      <w:r w:rsidRPr="00A36733">
        <w:rPr>
          <w:sz w:val="20"/>
          <w:szCs w:val="20"/>
        </w:rPr>
        <w:t xml:space="preserve"> covering all clients.</w:t>
      </w:r>
    </w:p>
    <w:p w14:paraId="51CEAE87" w14:textId="77777777" w:rsidR="00F11D6A" w:rsidRPr="00A36733" w:rsidRDefault="00000000">
      <w:pPr>
        <w:pStyle w:val="Heading2"/>
        <w:rPr>
          <w:sz w:val="24"/>
          <w:szCs w:val="24"/>
        </w:rPr>
      </w:pPr>
      <w:r w:rsidRPr="00A36733">
        <w:rPr>
          <w:color w:val="0A2E4D"/>
          <w:sz w:val="24"/>
          <w:szCs w:val="24"/>
        </w:rPr>
        <w:t>Security summary</w:t>
      </w:r>
    </w:p>
    <w:tbl>
      <w:tblPr>
        <w:tblStyle w:val="LightGrid-Accent1"/>
        <w:tblW w:w="0" w:type="auto"/>
        <w:tblLook w:val="04A0" w:firstRow="1" w:lastRow="0" w:firstColumn="1" w:lastColumn="0" w:noHBand="0" w:noVBand="1"/>
      </w:tblPr>
      <w:tblGrid>
        <w:gridCol w:w="4310"/>
        <w:gridCol w:w="4310"/>
      </w:tblGrid>
      <w:tr w:rsidR="00F11D6A" w:rsidRPr="00A36733" w14:paraId="160151AA" w14:textId="77777777" w:rsidTr="00F11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A62A3" w14:textId="77777777" w:rsidR="00F11D6A" w:rsidRPr="00A36733" w:rsidRDefault="00000000">
            <w:pPr>
              <w:rPr>
                <w:sz w:val="20"/>
                <w:szCs w:val="20"/>
              </w:rPr>
            </w:pPr>
            <w:r w:rsidRPr="00A36733">
              <w:rPr>
                <w:sz w:val="20"/>
                <w:szCs w:val="20"/>
              </w:rPr>
              <w:t>Control</w:t>
            </w:r>
          </w:p>
        </w:tc>
        <w:tc>
          <w:tcPr>
            <w:tcW w:w="4320" w:type="dxa"/>
          </w:tcPr>
          <w:p w14:paraId="0676C8C8" w14:textId="77777777" w:rsidR="00F11D6A" w:rsidRPr="00A36733"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A36733">
              <w:rPr>
                <w:sz w:val="20"/>
                <w:szCs w:val="20"/>
              </w:rPr>
              <w:t>Measure</w:t>
            </w:r>
          </w:p>
        </w:tc>
      </w:tr>
      <w:tr w:rsidR="00F11D6A" w:rsidRPr="00A36733" w14:paraId="69725F2E"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69DCA" w14:textId="77777777" w:rsidR="00F11D6A" w:rsidRPr="00A36733" w:rsidRDefault="00000000">
            <w:pPr>
              <w:rPr>
                <w:sz w:val="20"/>
                <w:szCs w:val="20"/>
              </w:rPr>
            </w:pPr>
            <w:r w:rsidRPr="00A36733">
              <w:rPr>
                <w:sz w:val="20"/>
                <w:szCs w:val="20"/>
              </w:rPr>
              <w:t>Withdraw permission on API keys</w:t>
            </w:r>
          </w:p>
        </w:tc>
        <w:tc>
          <w:tcPr>
            <w:tcW w:w="4320" w:type="dxa"/>
          </w:tcPr>
          <w:p w14:paraId="52001D56"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Never requested; keys with it are rejected</w:t>
            </w:r>
          </w:p>
        </w:tc>
      </w:tr>
      <w:tr w:rsidR="00F11D6A" w:rsidRPr="00A36733" w14:paraId="3C54F5F0"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A59FA" w14:textId="77777777" w:rsidR="00F11D6A" w:rsidRPr="00A36733" w:rsidRDefault="00000000">
            <w:pPr>
              <w:rPr>
                <w:sz w:val="20"/>
                <w:szCs w:val="20"/>
              </w:rPr>
            </w:pPr>
            <w:r w:rsidRPr="00A36733">
              <w:rPr>
                <w:sz w:val="20"/>
                <w:szCs w:val="20"/>
              </w:rPr>
              <w:t>Credential storage</w:t>
            </w:r>
          </w:p>
        </w:tc>
        <w:tc>
          <w:tcPr>
            <w:tcW w:w="4320" w:type="dxa"/>
          </w:tcPr>
          <w:p w14:paraId="7F1AA5BB"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Encrypted at rest; never displayed after entry; never emailed</w:t>
            </w:r>
          </w:p>
        </w:tc>
      </w:tr>
      <w:tr w:rsidR="00F11D6A" w:rsidRPr="00A36733" w14:paraId="7443CDED"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BCD88" w14:textId="77777777" w:rsidR="00F11D6A" w:rsidRPr="00A36733" w:rsidRDefault="00000000">
            <w:pPr>
              <w:rPr>
                <w:sz w:val="20"/>
                <w:szCs w:val="20"/>
              </w:rPr>
            </w:pPr>
            <w:r w:rsidRPr="00A36733">
              <w:rPr>
                <w:sz w:val="20"/>
                <w:szCs w:val="20"/>
              </w:rPr>
              <w:t>Portal access</w:t>
            </w:r>
          </w:p>
        </w:tc>
        <w:tc>
          <w:tcPr>
            <w:tcW w:w="4320" w:type="dxa"/>
          </w:tcPr>
          <w:p w14:paraId="1CB8AFFA" w14:textId="37C7A339"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Named logins, mandatory 2FA</w:t>
            </w:r>
          </w:p>
        </w:tc>
      </w:tr>
      <w:tr w:rsidR="00F11D6A" w:rsidRPr="00A36733" w14:paraId="7934DB18"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00192" w14:textId="77777777" w:rsidR="00F11D6A" w:rsidRPr="00A36733" w:rsidRDefault="00000000">
            <w:pPr>
              <w:rPr>
                <w:sz w:val="20"/>
                <w:szCs w:val="20"/>
              </w:rPr>
            </w:pPr>
            <w:r w:rsidRPr="00A36733">
              <w:rPr>
                <w:sz w:val="20"/>
                <w:szCs w:val="20"/>
              </w:rPr>
              <w:t>Audit</w:t>
            </w:r>
          </w:p>
        </w:tc>
        <w:tc>
          <w:tcPr>
            <w:tcW w:w="4320" w:type="dxa"/>
          </w:tcPr>
          <w:p w14:paraId="7A891D45"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Every action logged and visible to Finova</w:t>
            </w:r>
          </w:p>
        </w:tc>
      </w:tr>
      <w:tr w:rsidR="00F11D6A" w:rsidRPr="00A36733" w14:paraId="11489AB0"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C631CF" w14:textId="77777777" w:rsidR="00F11D6A" w:rsidRPr="00A36733" w:rsidRDefault="00000000">
            <w:pPr>
              <w:rPr>
                <w:sz w:val="20"/>
                <w:szCs w:val="20"/>
              </w:rPr>
            </w:pPr>
            <w:r w:rsidRPr="00A36733">
              <w:rPr>
                <w:sz w:val="20"/>
                <w:szCs w:val="20"/>
              </w:rPr>
              <w:t>Control of client funds</w:t>
            </w:r>
          </w:p>
        </w:tc>
        <w:tc>
          <w:tcPr>
            <w:tcW w:w="4320" w:type="dxa"/>
          </w:tcPr>
          <w:p w14:paraId="7D71C968"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Remains entirely with Finova at all times</w:t>
            </w:r>
          </w:p>
        </w:tc>
      </w:tr>
    </w:tbl>
    <w:p w14:paraId="296307D0" w14:textId="77777777" w:rsidR="00F11D6A" w:rsidRPr="00A36733" w:rsidRDefault="00F11D6A">
      <w:pPr>
        <w:rPr>
          <w:sz w:val="20"/>
          <w:szCs w:val="20"/>
        </w:rPr>
      </w:pPr>
    </w:p>
    <w:p w14:paraId="572F810A" w14:textId="77777777" w:rsidR="00F11D6A" w:rsidRPr="00A36733" w:rsidRDefault="00000000">
      <w:pPr>
        <w:pStyle w:val="Heading2"/>
        <w:rPr>
          <w:sz w:val="24"/>
          <w:szCs w:val="24"/>
        </w:rPr>
      </w:pPr>
      <w:r w:rsidRPr="00A36733">
        <w:rPr>
          <w:color w:val="0A2E4D"/>
          <w:sz w:val="24"/>
          <w:szCs w:val="24"/>
        </w:rPr>
        <w:t>What we need to agree</w:t>
      </w:r>
    </w:p>
    <w:tbl>
      <w:tblPr>
        <w:tblStyle w:val="LightGrid-Accent1"/>
        <w:tblW w:w="0" w:type="auto"/>
        <w:tblLook w:val="04A0" w:firstRow="1" w:lastRow="0" w:firstColumn="1" w:lastColumn="0" w:noHBand="0" w:noVBand="1"/>
      </w:tblPr>
      <w:tblGrid>
        <w:gridCol w:w="4310"/>
        <w:gridCol w:w="4310"/>
      </w:tblGrid>
      <w:tr w:rsidR="00F11D6A" w:rsidRPr="00A36733" w14:paraId="67B44C0B" w14:textId="77777777" w:rsidTr="00F11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764B9A" w14:textId="77777777" w:rsidR="00F11D6A" w:rsidRPr="00A36733" w:rsidRDefault="00000000">
            <w:pPr>
              <w:rPr>
                <w:sz w:val="20"/>
                <w:szCs w:val="20"/>
              </w:rPr>
            </w:pPr>
            <w:r w:rsidRPr="00A36733">
              <w:rPr>
                <w:sz w:val="20"/>
                <w:szCs w:val="20"/>
              </w:rPr>
              <w:t>Item</w:t>
            </w:r>
          </w:p>
        </w:tc>
        <w:tc>
          <w:tcPr>
            <w:tcW w:w="4320" w:type="dxa"/>
          </w:tcPr>
          <w:p w14:paraId="593F2D28" w14:textId="77777777" w:rsidR="00F11D6A" w:rsidRPr="00A36733"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A36733">
              <w:rPr>
                <w:sz w:val="20"/>
                <w:szCs w:val="20"/>
              </w:rPr>
              <w:t>Needed from Finova</w:t>
            </w:r>
          </w:p>
        </w:tc>
      </w:tr>
      <w:tr w:rsidR="00F11D6A" w:rsidRPr="00A36733" w14:paraId="5EB0F2A4"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D62D26" w14:textId="77777777" w:rsidR="00F11D6A" w:rsidRPr="00A36733" w:rsidRDefault="00000000">
            <w:pPr>
              <w:rPr>
                <w:sz w:val="20"/>
                <w:szCs w:val="20"/>
              </w:rPr>
            </w:pPr>
            <w:r w:rsidRPr="00A36733">
              <w:rPr>
                <w:sz w:val="20"/>
                <w:szCs w:val="20"/>
              </w:rPr>
              <w:t>The three confirmation points above</w:t>
            </w:r>
          </w:p>
        </w:tc>
        <w:tc>
          <w:tcPr>
            <w:tcW w:w="4320" w:type="dxa"/>
          </w:tcPr>
          <w:p w14:paraId="558EB48A"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Confirmation</w:t>
            </w:r>
          </w:p>
        </w:tc>
      </w:tr>
      <w:tr w:rsidR="00F11D6A" w:rsidRPr="00A36733" w14:paraId="37BF4183"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59559E" w14:textId="77777777" w:rsidR="00F11D6A" w:rsidRPr="00A36733" w:rsidRDefault="00000000">
            <w:pPr>
              <w:rPr>
                <w:sz w:val="20"/>
                <w:szCs w:val="20"/>
              </w:rPr>
            </w:pPr>
            <w:r w:rsidRPr="00A36733">
              <w:rPr>
                <w:sz w:val="20"/>
                <w:szCs w:val="20"/>
              </w:rPr>
              <w:t>Email address for notifications</w:t>
            </w:r>
          </w:p>
        </w:tc>
        <w:tc>
          <w:tcPr>
            <w:tcW w:w="4320" w:type="dxa"/>
          </w:tcPr>
          <w:p w14:paraId="0F3678A6" w14:textId="77777777"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One shared mailbox recommended</w:t>
            </w:r>
          </w:p>
        </w:tc>
      </w:tr>
      <w:tr w:rsidR="00F11D6A" w:rsidRPr="00A36733" w14:paraId="7968314E" w14:textId="77777777" w:rsidTr="00F11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4103D3" w14:textId="77777777" w:rsidR="00F11D6A" w:rsidRPr="00A36733" w:rsidRDefault="00000000">
            <w:pPr>
              <w:rPr>
                <w:sz w:val="20"/>
                <w:szCs w:val="20"/>
              </w:rPr>
            </w:pPr>
            <w:r w:rsidRPr="00A36733">
              <w:rPr>
                <w:sz w:val="20"/>
                <w:szCs w:val="20"/>
              </w:rPr>
              <w:t>Turnaround — new subaccounts</w:t>
            </w:r>
          </w:p>
        </w:tc>
        <w:tc>
          <w:tcPr>
            <w:tcW w:w="4320" w:type="dxa"/>
          </w:tcPr>
          <w:p w14:paraId="3C3C8933" w14:textId="77777777" w:rsidR="00F11D6A" w:rsidRPr="00A36733"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A36733">
              <w:rPr>
                <w:sz w:val="20"/>
                <w:szCs w:val="20"/>
              </w:rPr>
              <w:t>Proposed: 1 business day</w:t>
            </w:r>
          </w:p>
        </w:tc>
      </w:tr>
      <w:tr w:rsidR="00F11D6A" w:rsidRPr="00A36733" w14:paraId="7D7D5B70" w14:textId="77777777" w:rsidTr="00F11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387DFD" w14:textId="77777777" w:rsidR="00F11D6A" w:rsidRPr="00A36733" w:rsidRDefault="00000000">
            <w:pPr>
              <w:rPr>
                <w:sz w:val="20"/>
                <w:szCs w:val="20"/>
              </w:rPr>
            </w:pPr>
            <w:r w:rsidRPr="00A36733">
              <w:rPr>
                <w:sz w:val="20"/>
                <w:szCs w:val="20"/>
              </w:rPr>
              <w:t>Turnaround — withdrawals</w:t>
            </w:r>
          </w:p>
        </w:tc>
        <w:tc>
          <w:tcPr>
            <w:tcW w:w="4320" w:type="dxa"/>
          </w:tcPr>
          <w:p w14:paraId="6B46281A" w14:textId="0BA13195" w:rsidR="00F11D6A" w:rsidRPr="00A36733"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A36733">
              <w:rPr>
                <w:sz w:val="20"/>
                <w:szCs w:val="20"/>
              </w:rPr>
              <w:t xml:space="preserve">Proposed: </w:t>
            </w:r>
            <w:r w:rsidR="00A36733" w:rsidRPr="00A36733">
              <w:rPr>
                <w:sz w:val="20"/>
                <w:szCs w:val="20"/>
              </w:rPr>
              <w:t>3</w:t>
            </w:r>
            <w:r w:rsidRPr="00A36733">
              <w:rPr>
                <w:sz w:val="20"/>
                <w:szCs w:val="20"/>
              </w:rPr>
              <w:t xml:space="preserve"> business day</w:t>
            </w:r>
            <w:r w:rsidR="00A36733" w:rsidRPr="00A36733">
              <w:rPr>
                <w:sz w:val="20"/>
                <w:szCs w:val="20"/>
              </w:rPr>
              <w:t>s</w:t>
            </w:r>
          </w:p>
        </w:tc>
      </w:tr>
    </w:tbl>
    <w:p w14:paraId="4D29CA67" w14:textId="77777777" w:rsidR="00F11D6A" w:rsidRPr="00A36733" w:rsidRDefault="00F11D6A">
      <w:pPr>
        <w:rPr>
          <w:sz w:val="20"/>
          <w:szCs w:val="20"/>
        </w:rPr>
      </w:pPr>
    </w:p>
    <w:p w14:paraId="5746AEDA" w14:textId="77777777" w:rsidR="00F11D6A" w:rsidRPr="00A36733" w:rsidRDefault="00000000">
      <w:pPr>
        <w:jc w:val="center"/>
        <w:rPr>
          <w:sz w:val="20"/>
          <w:szCs w:val="20"/>
        </w:rPr>
      </w:pPr>
      <w:r w:rsidRPr="00A36733">
        <w:rPr>
          <w:i/>
          <w:sz w:val="20"/>
          <w:szCs w:val="20"/>
        </w:rPr>
        <w:t>Prepared by BitWealth for Finova. Draft for comment — please return changes before development begins.</w:t>
      </w:r>
    </w:p>
    <w:sectPr w:rsidR="00F11D6A" w:rsidRPr="00A367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582621">
    <w:abstractNumId w:val="8"/>
  </w:num>
  <w:num w:numId="2" w16cid:durableId="2130972689">
    <w:abstractNumId w:val="6"/>
  </w:num>
  <w:num w:numId="3" w16cid:durableId="1547835098">
    <w:abstractNumId w:val="5"/>
  </w:num>
  <w:num w:numId="4" w16cid:durableId="1791430505">
    <w:abstractNumId w:val="4"/>
  </w:num>
  <w:num w:numId="5" w16cid:durableId="1282146668">
    <w:abstractNumId w:val="7"/>
  </w:num>
  <w:num w:numId="6" w16cid:durableId="759251511">
    <w:abstractNumId w:val="3"/>
  </w:num>
  <w:num w:numId="7" w16cid:durableId="14693199">
    <w:abstractNumId w:val="2"/>
  </w:num>
  <w:num w:numId="8" w16cid:durableId="1711612486">
    <w:abstractNumId w:val="1"/>
  </w:num>
  <w:num w:numId="9" w16cid:durableId="857618813">
    <w:abstractNumId w:val="0"/>
  </w:num>
  <w:num w:numId="10" w16cid:durableId="120410105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D13"/>
    <w:rsid w:val="0029639D"/>
    <w:rsid w:val="00326F90"/>
    <w:rsid w:val="003B3A11"/>
    <w:rsid w:val="00A36733"/>
    <w:rsid w:val="00AA1D8D"/>
    <w:rsid w:val="00B47730"/>
    <w:rsid w:val="00CB0664"/>
    <w:rsid w:val="00F11D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D691B"/>
  <w14:defaultImageDpi w14:val="300"/>
  <w15:docId w15:val="{F3080CC1-CD92-4F25-8F72-92963474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2</cp:revision>
  <dcterms:created xsi:type="dcterms:W3CDTF">2026-08-30T18:59:00Z</dcterms:created>
  <dcterms:modified xsi:type="dcterms:W3CDTF">2026-08-30T18:59:00Z</dcterms:modified>
  <cp:category/>
</cp:coreProperties>
</file>