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A227"/>
          <w:sz w:val="56"/>
        </w:rPr>
        <w:t>BitWealth (Pty) Ltd</w:t>
      </w:r>
    </w:p>
    <w:p>
      <w:pPr>
        <w:jc w:val="center"/>
      </w:pPr>
      <w:r>
        <w:rPr>
          <w:color w:val="1A1A1A"/>
          <w:sz w:val="32"/>
        </w:rPr>
        <w:t>Partnership &amp; Equity Structure — Proposal Framework</w:t>
      </w:r>
    </w:p>
    <w:p>
      <w:pPr>
        <w:jc w:val="center"/>
      </w:pPr>
      <w:r>
        <w:rPr>
          <w:i/>
          <w:color w:val="555555"/>
          <w:sz w:val="20"/>
        </w:rPr>
        <w:t>Prepared for discussion with the CEO of RocketX</w:t>
        <w:br/>
        <w:t>April 2026  |  Discussion Document — Subject to Negotiation</w:t>
      </w:r>
    </w:p>
    <w:p/>
    <w:p>
      <w:pPr>
        <w:pStyle w:val="Heading1"/>
      </w:pPr>
      <w:r>
        <w:rPr>
          <w:rFonts w:ascii="Calibri" w:hAnsi="Calibri"/>
          <w:color w:val="C9A227"/>
        </w:rPr>
        <w:t>1. Purpose of This Document</w:t>
      </w:r>
    </w:p>
    <w:p>
      <w:r>
        <w:rPr>
          <w:b w:val="0"/>
          <w:i w:val="0"/>
          <w:color w:val="1A1A1A"/>
          <w:sz w:val="22"/>
        </w:rPr>
        <w:t>This document sets out a proposed two-phase structure for a partnership between BitWealth (Pty) Ltd, RocketX, and Simon [Surname]. Phase 1 is a formal Juristic Representative appointment under RocketX's FSP licence, running for an initial 12 months and renewable annually. Phase 2 — a permanent equity structure — is optional and only commences if and when all parties mutually agree to it.</w:t>
      </w:r>
    </w:p>
    <w:p>
      <w:r>
        <w:rPr>
          <w:b w:val="0"/>
          <w:i/>
          <w:color w:val="555555"/>
          <w:sz w:val="22"/>
        </w:rPr>
        <w:t>All numbers, percentages, and terms in this document are starting positions for discussion. Final terms will be negotiated and documented in formal agreements drafted by attorneys.</w:t>
      </w:r>
    </w:p>
    <w:p>
      <w:pPr>
        <w:pStyle w:val="Heading1"/>
      </w:pPr>
      <w:r>
        <w:rPr>
          <w:rFonts w:ascii="Calibri" w:hAnsi="Calibri"/>
          <w:color w:val="C9A227"/>
        </w:rPr>
        <w:t>2. Parties and Contributions</w:t>
      </w:r>
    </w:p>
    <w:p>
      <w:r>
        <w:rPr>
          <w:b w:val="0"/>
          <w:i w:val="0"/>
          <w:color w:val="1A1A1A"/>
          <w:sz w:val="22"/>
        </w:rPr>
        <w:t>Each party brings a distinct and complementary contribution. Recognising the relative weight of each contribution is the foundation for the equity discussion.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Party</w:t>
            </w:r>
          </w:p>
        </w:tc>
        <w:tc>
          <w:tcPr>
            <w:tcW w:type="dxa" w:w="4252"/>
            <w:shd w:val="clear" w:color="auto" w:fill="F5EBC8"/>
          </w:tcPr>
          <w:p>
            <w:r/>
            <w:r>
              <w:rPr>
                <w:b/>
                <w:sz w:val="20"/>
              </w:rPr>
              <w:t>Primary Contribution</w:t>
            </w:r>
          </w:p>
        </w:tc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Nature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 ([Your Name])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IP, technology, product, founding effort, ongoing CEO role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Sweat equity + existing IP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 (or CEO personally)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FSP &amp; CASP licence, regulatory &amp; compliance infrastructure, industry credibility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Regulatory access + governance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 [Surname]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Distribution network, client acquisition, capital injection (TBC), full-time operating role</w:t>
            </w:r>
          </w:p>
        </w:tc>
        <w:tc>
          <w:tcPr>
            <w:tcW w:type="dxa" w:w="2551"/>
          </w:tcPr>
          <w:p>
            <w:r/>
            <w:r>
              <w:rPr>
                <w:sz w:val="20"/>
              </w:rPr>
              <w:t>Capital + sweat equity + sales</w:t>
            </w:r>
          </w:p>
        </w:tc>
      </w:tr>
    </w:tbl>
    <w:p>
      <w:pPr>
        <w:pStyle w:val="Heading1"/>
      </w:pPr>
      <w:r>
        <w:rPr>
          <w:rFonts w:ascii="Calibri" w:hAnsi="Calibri"/>
          <w:color w:val="C9A227"/>
        </w:rPr>
        <w:t>3. Phase 1 — Juristic Representative (JR) Appointment</w:t>
      </w:r>
    </w:p>
    <w:p>
      <w:r>
        <w:rPr>
          <w:b w:val="0"/>
          <w:i w:val="0"/>
          <w:color w:val="1A1A1A"/>
          <w:sz w:val="22"/>
        </w:rPr>
        <w:t>BitWealth (Pty) Ltd is appointed as a Juristic Representative of RocketX in terms of section 13 of the Financial Advisory and Intermediary Services Act (FAIS). This is a formal, FSCA-registered appointment — not an informal commercial arrangement — that allows BitWealth to render financial services to clients under RocketX's FSP licence from day one. The appointment runs for an initial 12-month term and renews automatically on each anniversary unless either party gives 90 days' written notice of non-renewal.</w:t>
      </w:r>
    </w:p>
    <w:p>
      <w:r>
        <w:rPr>
          <w:b w:val="0"/>
          <w:i/>
          <w:color w:val="555555"/>
          <w:sz w:val="22"/>
        </w:rPr>
        <w:t>Phase 1 stands on its own. It is not a trial period that must convert into equity — it is a complete, sustainable operating model in its own right. Phase 2 (equity) is a separate, optional decision that requires the mutual agreement of all parties.</w:t>
      </w:r>
    </w:p>
    <w:p>
      <w:pPr>
        <w:pStyle w:val="Heading2"/>
      </w:pPr>
      <w:r>
        <w:rPr>
          <w:rFonts w:ascii="Calibri" w:hAnsi="Calibri"/>
          <w:color w:val="C9A227"/>
        </w:rPr>
        <w:t>3.1 Proposed JR Terms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color="auto" w:fill="F5EBC8"/>
          </w:tcPr>
          <w:p>
            <w:r/>
            <w:r>
              <w:rPr>
                <w:b/>
                <w:sz w:val="20"/>
              </w:rPr>
              <w:t>Term</w:t>
            </w:r>
          </w:p>
        </w:tc>
        <w:tc>
          <w:tcPr>
            <w:tcW w:type="dxa" w:w="6520"/>
            <w:shd w:val="clear" w:color="auto" w:fill="F5EBC8"/>
          </w:tcPr>
          <w:p>
            <w:r/>
            <w:r>
              <w:rPr>
                <w:b/>
                <w:sz w:val="20"/>
              </w:rPr>
              <w:t>Proposed Position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Legal basis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Juristic Representative appointment under section 13 of FAIS, registered with the FSCA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Effective date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Upon (a) execution of the JR Agreement and (b) FSCA approval of BitWealth as a JR under RocketX's FSP licence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Initial term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12 months from the Effective 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Renewal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Automatic renewal for further 12-month periods unless either party gives 90 days' written notice of non-renewal before the renewal date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Fee-sharing (FAIS s.13)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40% BitWealth / 30% RocketX / 30% Simon of net management and performance fees, after platform/exchange costs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Compliance services included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Full FAIS compliance administration, KI supervision, regulatory reporting, FICA/AML programme, complaints handling, record-keeping under the FSP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Key Individual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Assigned KI nominated by RocketX (or mutually agreed) with documented capacity and supervision plan for the LTH PVR strategy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PI insurance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Either extended under RocketX's existing professional indemnity cover, or BitWealth carries its own policy meeting the FSP's minimum requirements — to be agreed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Client relationship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Client mandates are with BitWealth (as JR), supervised by RocketX (as FSP). Client relationship and data ownership remain with BitWealth.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Client portability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On termination of the JR appointment, BitWealth retains the right to transfer client mandates to an alternative FSP (or its own FSP) subject to client consent and FAIS notification rules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Right to seek alternative FSP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BitWealth may, at any time, apply for its own FSP licence or negotiate appointment under another FSP. RocketX shall not unreasonably impede such efforts.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Conflicts of interest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Documented conflicts-of-interest management plan, including disclosure to clients of the JR/FSP fee-share and any RocketX equity interests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Early termination triggers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Material breach (with cure period), regulatory action against either party, insolvency, loss of FSP licence, mutual written consent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Phase 2 trigger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Phase 2 (equity) commences only on the mutual written agreement of all parties. Discussions to be initiated 90 days before any renewal date.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Effect of Phase 2</w:t>
            </w:r>
          </w:p>
        </w:tc>
        <w:tc>
          <w:tcPr>
            <w:tcW w:type="dxa" w:w="6520"/>
          </w:tcPr>
          <w:p>
            <w:r/>
            <w:r>
              <w:rPr>
                <w:sz w:val="20"/>
              </w:rPr>
              <w:t>On the SHA Effective Date, the JR Agreement is superseded by intra-group operating arrangements. The JR appointment with the FSCA continues uninterrupted.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3.2 FSCA Appointment Process</w:t>
      </w:r>
    </w:p>
    <w:p>
      <w:r>
        <w:rPr>
          <w:b w:val="0"/>
          <w:i w:val="0"/>
          <w:color w:val="1A1A1A"/>
          <w:sz w:val="22"/>
        </w:rPr>
        <w:t>Appointment of BitWealth (Pty) Ltd as a JR requires RocketX to lodge the appointment with the FSCA. BitWealth must satisfy the fit-and-proper requirements applicable to a juristic representative:</w:t>
      </w:r>
    </w:p>
    <w:p>
      <w:pPr>
        <w:pStyle w:val="ListBullet"/>
      </w:pPr>
      <w:r>
        <w:t>Honesty, integrity and good standing declarations from all directors</w:t>
      </w:r>
    </w:p>
    <w:p>
      <w:pPr>
        <w:pStyle w:val="ListBullet"/>
      </w:pPr>
      <w:r>
        <w:t>Operational ability — documented systems, processes and controls (largely already in place)</w:t>
      </w:r>
    </w:p>
    <w:p>
      <w:pPr>
        <w:pStyle w:val="ListBullet"/>
      </w:pPr>
      <w:r>
        <w:t>Financial soundness — solvency and liquidity demonstrated</w:t>
      </w:r>
    </w:p>
    <w:p>
      <w:pPr>
        <w:pStyle w:val="ListBullet"/>
      </w:pPr>
      <w:r>
        <w:t>Confirmation that RocketX's FSP categories (and, if applicable, CASP authorisation) cover the LTH PVR strategy</w:t>
      </w:r>
    </w:p>
    <w:p>
      <w:pPr>
        <w:pStyle w:val="ListBullet"/>
      </w:pPr>
      <w:r>
        <w:t>Indicative timeline: 30–60 days from lodgement to FSCA approval</w:t>
      </w:r>
    </w:p>
    <w:p>
      <w:pPr>
        <w:pStyle w:val="Heading2"/>
      </w:pPr>
      <w:r>
        <w:rPr>
          <w:rFonts w:ascii="Calibri" w:hAnsi="Calibri"/>
          <w:color w:val="C9A227"/>
        </w:rPr>
        <w:t>3.3 Why 30% / 30% / 40%?</w:t>
      </w:r>
    </w:p>
    <w:p>
      <w:r>
        <w:rPr>
          <w:b w:val="0"/>
          <w:i w:val="0"/>
          <w:color w:val="1A1A1A"/>
          <w:sz w:val="22"/>
        </w:rPr>
        <w:t>Industry-typical JR/FSP fee-sharing arrangements in South Africa range from 20% to 40% to the FSP. 30% sits in the middle and reflects the value of a fully outsourced compliance function plus the regulatory licence itself. The matching 30% to Simon compensates the distribution role on equal footing during Phase 1, when no party yet holds equity. BitWealth retains 40% to fund ongoing technology development, infrastructure and operations.</w:t>
      </w:r>
    </w:p>
    <w:p>
      <w:pPr>
        <w:pStyle w:val="Heading1"/>
      </w:pPr>
      <w:r>
        <w:rPr>
          <w:rFonts w:ascii="Calibri" w:hAnsi="Calibri"/>
          <w:color w:val="C9A227"/>
        </w:rPr>
        <w:t>4. Phase 2 — Permanent Equity Structure (Optional)</w:t>
      </w:r>
    </w:p>
    <w:p>
      <w:r>
        <w:rPr>
          <w:b w:val="0"/>
          <w:i w:val="0"/>
          <w:color w:val="1A1A1A"/>
          <w:sz w:val="22"/>
        </w:rPr>
        <w:t>Phase 2 commences only if and when all parties mutually agree to convert the JR relationship into a permanent shareholding. It is not automatic and is not a precondition of Phase 1. If Phase 2 is agreed, the JR fee-share falls away and is replaced by intra-group operating arrangements; BitWealth (Pty) Ltd becomes a jointly-owned operating company. Three illustrative options are set out below.</w:t>
      </w:r>
    </w:p>
    <w:p>
      <w:pPr>
        <w:pStyle w:val="Heading2"/>
      </w:pPr>
      <w:r>
        <w:rPr>
          <w:rFonts w:ascii="Calibri" w:hAnsi="Calibri"/>
          <w:color w:val="C9A227"/>
        </w:rPr>
        <w:t>4.1 Founder Non-Negotiables</w:t>
      </w:r>
    </w:p>
    <w:p>
      <w:pPr>
        <w:pStyle w:val="ListBullet"/>
      </w:pPr>
      <w:r>
        <w:t>Founder retains a controlling stake (&gt;50%) for the foreseeable future</w:t>
      </w:r>
    </w:p>
    <w:p>
      <w:pPr>
        <w:pStyle w:val="ListBullet"/>
      </w:pPr>
      <w:r>
        <w:t>Right of First Refusal (ROFR) on any share sale or transfer by any shareholder</w:t>
      </w:r>
    </w:p>
    <w:p>
      <w:pPr>
        <w:pStyle w:val="ListBullet"/>
      </w:pPr>
      <w:r>
        <w:t>All IP currently held personally by the Founder to be formally assigned to BitWealth (Pty) Ltd before any equity is issued — this protects all parties</w:t>
      </w:r>
    </w:p>
    <w:p>
      <w:pPr>
        <w:pStyle w:val="ListBullet"/>
      </w:pPr>
      <w:r>
        <w:t>Vesting on all new shareholder equity (minimum 3-year vesting with a 1-year cliff)</w:t>
      </w:r>
    </w:p>
    <w:p>
      <w:pPr>
        <w:pStyle w:val="ListBullet"/>
      </w:pPr>
      <w:r>
        <w:t>Reverse vesting: if Simon or RocketX exit before Year 3, unvested shares are forfeited</w:t>
      </w:r>
    </w:p>
    <w:p>
      <w:pPr>
        <w:pStyle w:val="Heading2"/>
      </w:pPr>
      <w:r>
        <w:rPr>
          <w:rFonts w:ascii="Calibri" w:hAnsi="Calibri"/>
          <w:color w:val="C9A227"/>
        </w:rPr>
        <w:t>4.2 Three Equity Options for Discussion</w:t>
      </w:r>
    </w:p>
    <w:p>
      <w:r>
        <w:rPr>
          <w:b/>
          <w:color w:val="C9A227"/>
          <w:sz w:val="26"/>
        </w:rPr>
        <w:t>Option A — Founder-Led (Conservative)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Shareholder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% Equity</w:t>
            </w:r>
          </w:p>
        </w:tc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Reflects existing IP, 1,000+ hours of build, ongoing CEO role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Distribution + capital + full-time operations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Licence umbrella; lower % because Founder retains operational control and IP</w:t>
            </w:r>
          </w:p>
        </w:tc>
      </w:tr>
    </w:tbl>
    <w:p>
      <w:r>
        <w:rPr>
          <w:b w:val="0"/>
          <w:i/>
          <w:color w:val="555555"/>
          <w:sz w:val="22"/>
        </w:rPr>
        <w:t>Best if: RocketX's role is limited to licence + compliance, with no material capital injection. JR-style economics persist (revenue share) but at a reduced rate of ~10% on top of the equity.</w:t>
      </w:r>
    </w:p>
    <w:p/>
    <w:p>
      <w:r>
        <w:rPr>
          <w:b/>
          <w:color w:val="C9A227"/>
          <w:sz w:val="26"/>
        </w:rPr>
        <w:t>Option B — Balanced Three-Way Partnership (Recommended Starting Point)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Shareholder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% Equity</w:t>
            </w:r>
          </w:p>
        </w:tc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Retains control; existing IP and ongoing CEO role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Distribution + capital + full-time operations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20%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Licence umbrella + active regulatory/governance involvement</w:t>
            </w:r>
          </w:p>
        </w:tc>
      </w:tr>
    </w:tbl>
    <w:p>
      <w:r>
        <w:rPr>
          <w:b w:val="0"/>
          <w:i/>
          <w:color w:val="555555"/>
          <w:sz w:val="22"/>
        </w:rPr>
        <w:t>Best if: All three parties are actively engaged. RocketX takes a board seat and provides strategic regulatory guidance beyond pure licence cover. Simon commits both capital and full-time effort. JR revenue share falls away entirely.</w:t>
      </w:r>
    </w:p>
    <w:p/>
    <w:p>
      <w:r>
        <w:rPr>
          <w:b/>
          <w:color w:val="C9A227"/>
          <w:sz w:val="26"/>
        </w:rPr>
        <w:t>Option C — Capital-Weighted (If RocketX Invests)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F5EBC8"/>
          </w:tcPr>
          <w:p>
            <w:r/>
            <w:r>
              <w:rPr>
                <w:b/>
                <w:sz w:val="20"/>
              </w:rPr>
              <w:t>Shareholder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% Equity</w:t>
            </w:r>
          </w:p>
        </w:tc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Rationale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Founder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51%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Retains bare control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Simon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24%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Distribution + capital + full-time operations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RocketX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25%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Licence + regulatory + material capital injection (e.g. R[X]m at the agreed pre-money valuation)</w:t>
            </w:r>
          </w:p>
        </w:tc>
      </w:tr>
    </w:tbl>
    <w:p>
      <w:r>
        <w:rPr>
          <w:b w:val="0"/>
          <w:i/>
          <w:color w:val="555555"/>
          <w:sz w:val="22"/>
        </w:rPr>
        <w:t>Best if: RocketX commits real capital alongside the licence — for example to fund marketing, engineering, or operating runway. Equity tracks total economic contribution.</w:t>
      </w:r>
    </w:p>
    <w:p>
      <w:pPr>
        <w:pStyle w:val="Heading1"/>
      </w:pPr>
      <w:r>
        <w:rPr>
          <w:rFonts w:ascii="Calibri" w:hAnsi="Calibri"/>
          <w:color w:val="C9A227"/>
        </w:rPr>
        <w:t>5. Valuation Framework</w:t>
      </w:r>
    </w:p>
    <w:p>
      <w:r>
        <w:rPr>
          <w:b w:val="0"/>
          <w:i w:val="0"/>
          <w:color w:val="1A1A1A"/>
          <w:sz w:val="22"/>
        </w:rPr>
        <w:t>Three independent methods are presented below. The defensible position is the average (or highest) of the three, depending on negotiating context. As a pre-revenue start-up, valuation is inherently subjective — the goal is to anchor the discussion with credible benchmarks rather than arbitrary numbers.</w:t>
      </w:r>
    </w:p>
    <w:p>
      <w:pPr>
        <w:pStyle w:val="Heading2"/>
      </w:pPr>
      <w:r>
        <w:rPr>
          <w:rFonts w:ascii="Calibri" w:hAnsi="Calibri"/>
          <w:color w:val="C9A227"/>
        </w:rPr>
        <w:t>5.1 Method 1 — Cost-to-Replicate (Sweat Equity)</w:t>
      </w:r>
    </w:p>
    <w:p>
      <w:r>
        <w:rPr>
          <w:b w:val="0"/>
          <w:i w:val="0"/>
          <w:color w:val="1A1A1A"/>
          <w:sz w:val="22"/>
        </w:rPr>
        <w:t>What would it cost a third party to build what you have built?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Input</w:t>
            </w:r>
          </w:p>
        </w:tc>
        <w:tc>
          <w:tcPr>
            <w:tcW w:type="dxa" w:w="4252"/>
            <w:shd w:val="clear" w:color="auto" w:fill="F5EBC8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Founder development hours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1,000+ hours over 7 months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Reasonable senior-developer rate (SA, fintech)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700/hour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Sweat equity value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700,000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Cash invested in infrastructure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15,000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Strategy IP premium (proprietary signal logic, backtested)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200,000 – R 500,000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Total (range)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915,000 – R 1,215,000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5.2 Method 2 — Discounted Future Revenue (Bottom-Up)</w:t>
      </w:r>
    </w:p>
    <w:p>
      <w:r>
        <w:rPr>
          <w:b w:val="0"/>
          <w:i w:val="0"/>
          <w:color w:val="1A1A1A"/>
          <w:sz w:val="22"/>
        </w:rPr>
        <w:t>What is the business worth based on near-term realistic revenue?</w:t>
      </w:r>
    </w:p>
    <w:p>
      <w:r>
        <w:rPr>
          <w:b/>
          <w:i w:val="0"/>
          <w:color w:val="1A1A1A"/>
          <w:sz w:val="22"/>
        </w:rPr>
        <w:t>Year 1 base case (Simon's network only):</w:t>
      </w:r>
    </w:p>
    <w:p>
      <w:pPr>
        <w:pStyle w:val="ListBullet"/>
      </w:pPr>
      <w:r>
        <w:t>20 clients × R 100,000 average AUM = R 2,000,000 AUM</w:t>
      </w:r>
    </w:p>
    <w:p>
      <w:pPr>
        <w:pStyle w:val="ListBullet"/>
      </w:pPr>
      <w:r>
        <w:t>Assumed strategy net return: 25% pa (conservative vs backtest)</w:t>
      </w:r>
    </w:p>
    <w:p>
      <w:pPr>
        <w:pStyle w:val="ListBullet"/>
      </w:pPr>
      <w:r>
        <w:t>Client profit pool: R 500,000</w:t>
      </w:r>
    </w:p>
    <w:p>
      <w:pPr>
        <w:pStyle w:val="ListBullet"/>
      </w:pPr>
      <w:r>
        <w:t>Performance fee (10% of profit): R 50,000</w:t>
      </w:r>
    </w:p>
    <w:p>
      <w:pPr>
        <w:pStyle w:val="ListBullet"/>
      </w:pPr>
      <w:r>
        <w:t>Platform fee (0.75% on AUM): R 15,000</w:t>
      </w:r>
    </w:p>
    <w:p>
      <w:pPr>
        <w:pStyle w:val="ListBullet"/>
      </w:pPr>
      <w:r>
        <w:t>Total Year 1 revenue: ~R 65,000</w:t>
      </w:r>
    </w:p>
    <w:p>
      <w:r>
        <w:rPr>
          <w:b/>
          <w:i w:val="0"/>
          <w:color w:val="1A1A1A"/>
          <w:sz w:val="22"/>
        </w:rPr>
        <w:t>Year 3 projection (organic growth + Simon's network):</w:t>
      </w:r>
    </w:p>
    <w:p>
      <w:pPr>
        <w:pStyle w:val="ListBullet"/>
      </w:pPr>
      <w:r>
        <w:t>80–120 clients × R 150,000 average AUM = R 12m – R 18m AUM</w:t>
      </w:r>
    </w:p>
    <w:p>
      <w:pPr>
        <w:pStyle w:val="ListBullet"/>
      </w:pPr>
      <w:r>
        <w:t>Annual revenue at same fee structure: R 400,000 – R 600,000</w:t>
      </w:r>
    </w:p>
    <w:p>
      <w:r>
        <w:rPr>
          <w:b w:val="0"/>
          <w:i w:val="0"/>
          <w:color w:val="1A1A1A"/>
          <w:sz w:val="22"/>
        </w:rPr>
        <w:t>Applying a fintech revenue multiple of 4–6× Year 3 revenue (typical for early-stage SA fintech with regulatory cover):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Scenario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Year 3 Revenue</w:t>
            </w:r>
          </w:p>
        </w:tc>
        <w:tc>
          <w:tcPr>
            <w:tcW w:type="dxa" w:w="1701"/>
            <w:shd w:val="clear" w:color="auto" w:fill="F5EBC8"/>
          </w:tcPr>
          <w:p>
            <w:r/>
            <w:r>
              <w:rPr>
                <w:b/>
                <w:sz w:val="20"/>
              </w:rPr>
              <w:t>Multiple</w:t>
            </w:r>
          </w:p>
        </w:tc>
        <w:tc>
          <w:tcPr>
            <w:tcW w:type="dxa" w:w="3118"/>
            <w:shd w:val="clear" w:color="auto" w:fill="F5EBC8"/>
          </w:tcPr>
          <w:p>
            <w:r/>
            <w:r>
              <w:rPr>
                <w:b/>
                <w:sz w:val="20"/>
              </w:rPr>
              <w:t>Implied Valuation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Conservative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400,000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4×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 1,600,000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Base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500,000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5×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 2,500,000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Optimistic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 600,000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6×</w:t>
            </w:r>
          </w:p>
        </w:tc>
        <w:tc>
          <w:tcPr>
            <w:tcW w:type="dxa" w:w="3118"/>
          </w:tcPr>
          <w:p>
            <w:r/>
            <w:r>
              <w:rPr>
                <w:sz w:val="20"/>
              </w:rPr>
              <w:t>R 3,600,000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5.3 Method 3 — Berkus Method (Pre-Revenue Milestone)</w:t>
      </w:r>
    </w:p>
    <w:p>
      <w:r>
        <w:rPr>
          <w:b w:val="0"/>
          <w:i w:val="0"/>
          <w:color w:val="1A1A1A"/>
          <w:sz w:val="22"/>
        </w:rPr>
        <w:t>A standard pre-revenue valuation method that assigns up to R 500,000 per de-risking milestone: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F5EBC8"/>
          </w:tcPr>
          <w:p>
            <w:r/>
            <w:r>
              <w:rPr>
                <w:b/>
                <w:sz w:val="20"/>
              </w:rPr>
              <w:t>Milestone</w:t>
            </w:r>
          </w:p>
        </w:tc>
        <w:tc>
          <w:tcPr>
            <w:tcW w:type="dxa" w:w="3402"/>
            <w:shd w:val="clear" w:color="auto" w:fill="F5EBC8"/>
          </w:tcPr>
          <w:p>
            <w:r/>
            <w:r>
              <w:rPr>
                <w:b/>
                <w:sz w:val="20"/>
              </w:rPr>
              <w:t>Status</w:t>
            </w:r>
          </w:p>
        </w:tc>
        <w:tc>
          <w:tcPr>
            <w:tcW w:type="dxa" w:w="1984"/>
            <w:shd w:val="clear" w:color="auto" w:fill="F5EBC8"/>
          </w:tcPr>
          <w:p>
            <w:r/>
            <w:r>
              <w:rPr>
                <w:b/>
                <w:sz w:val="20"/>
              </w:rPr>
              <w:t>Value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Sound idea (basic value, product risk)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Achieved — validated by backtest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Prototype (technology risk reduced)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Achieved — full system live, 2 pilot users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Quality management team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Partial — Founder + KI; pending Simon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250,000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Strategic relationships (market risk)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Achieved on partnership signing — RocketX + Simon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500,000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Product rollout / sales (production risk)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Pending — pilot only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100,000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Total Berkus valuation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 1,850,000</w:t>
            </w:r>
          </w:p>
        </w:tc>
      </w:tr>
    </w:tbl>
    <w:p>
      <w:pPr>
        <w:pStyle w:val="Heading2"/>
      </w:pPr>
      <w:r>
        <w:rPr>
          <w:rFonts w:ascii="Calibri" w:hAnsi="Calibri"/>
          <w:color w:val="C9A227"/>
        </w:rPr>
        <w:t>5.4 Recommended Valuation Range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color="auto" w:fill="F5EBC8"/>
          </w:tcPr>
          <w:p>
            <w:r/>
            <w:r>
              <w:rPr>
                <w:b/>
                <w:sz w:val="20"/>
              </w:rPr>
              <w:t>Method</w:t>
            </w:r>
          </w:p>
        </w:tc>
        <w:tc>
          <w:tcPr>
            <w:tcW w:type="dxa" w:w="4252"/>
            <w:shd w:val="clear" w:color="auto" w:fill="F5EBC8"/>
          </w:tcPr>
          <w:p>
            <w:r/>
            <w:r>
              <w:rPr>
                <w:b/>
                <w:sz w:val="20"/>
              </w:rPr>
              <w:t>Valuation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Cost-to-Replicate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915k – R 1.2m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Discounted Future Revenue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1.6m – R 3.6m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Berkus (Pre-Revenue)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1.85m</w:t>
            </w:r>
          </w:p>
        </w:tc>
      </w:tr>
      <w:tr>
        <w:tc>
          <w:tcPr>
            <w:tcW w:type="dxa" w:w="5102"/>
          </w:tcPr>
          <w:p>
            <w:r/>
            <w:r>
              <w:rPr>
                <w:sz w:val="20"/>
              </w:rPr>
              <w:t>Recommended pre-money valuation for discussion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 2.0m – R 2.5m</w:t>
            </w:r>
          </w:p>
        </w:tc>
      </w:tr>
    </w:tbl>
    <w:p>
      <w:r>
        <w:rPr>
          <w:b/>
          <w:i w:val="0"/>
          <w:color w:val="1A1A1A"/>
          <w:sz w:val="22"/>
        </w:rPr>
        <w:t>Anchor the negotiation at R 2.5m and accept anywhere down to R 1.8m. Anything below that undervalues the IP, the regulatory groundwork already done, and the operational platform. A successful 12-month JR period strengthens this valuation materially at Phase 2 — proven revenue, operational track record and a clean regulatory record all support the upper end of the range.</w:t>
      </w:r>
    </w:p>
    <w:p>
      <w:pPr>
        <w:pStyle w:val="Heading1"/>
      </w:pPr>
      <w:r>
        <w:rPr>
          <w:rFonts w:ascii="Calibri" w:hAnsi="Calibri"/>
          <w:color w:val="C9A227"/>
        </w:rPr>
        <w:t>6. Questions to Ask the RocketX CEO</w:t>
      </w:r>
    </w:p>
    <w:p>
      <w:r>
        <w:rPr>
          <w:b w:val="0"/>
          <w:i w:val="0"/>
          <w:color w:val="1A1A1A"/>
          <w:sz w:val="22"/>
        </w:rPr>
        <w:t>Before the equity discussion can be finalised, the following questions should be answered.</w:t>
      </w:r>
    </w:p>
    <w:p>
      <w:pPr>
        <w:pStyle w:val="Heading2"/>
      </w:pPr>
      <w:r>
        <w:rPr>
          <w:rFonts w:ascii="Calibri" w:hAnsi="Calibri"/>
          <w:color w:val="C9A227"/>
        </w:rPr>
        <w:t>6.1 Capital and Investment</w:t>
      </w:r>
    </w:p>
    <w:p>
      <w:pPr>
        <w:pStyle w:val="ListBullet"/>
      </w:pPr>
      <w:r>
        <w:t>Will RocketX inject capital into BitWealth, or is the contribution purely the licence and compliance services?</w:t>
      </w:r>
    </w:p>
    <w:p>
      <w:pPr>
        <w:pStyle w:val="ListBullet"/>
      </w:pPr>
      <w:r>
        <w:t>If capital is on the table, what amount and on what terms (equity vs convertible loan vs revenue advance)?</w:t>
      </w:r>
    </w:p>
    <w:p>
      <w:pPr>
        <w:pStyle w:val="ListBullet"/>
      </w:pPr>
      <w:r>
        <w:t>Would RocketX be willing to fund the first 12 months of marketing and operating costs in exchange for additional equity?</w:t>
      </w:r>
    </w:p>
    <w:p>
      <w:pPr>
        <w:pStyle w:val="Heading2"/>
      </w:pPr>
      <w:r>
        <w:rPr>
          <w:rFonts w:ascii="Calibri" w:hAnsi="Calibri"/>
          <w:color w:val="C9A227"/>
        </w:rPr>
        <w:t>6.2 Entity Structure</w:t>
      </w:r>
    </w:p>
    <w:p>
      <w:pPr>
        <w:pStyle w:val="ListBullet"/>
      </w:pPr>
      <w:r>
        <w:t>Will RocketX (Pty) Ltd be the shareholder, or will the CEO take shares personally?</w:t>
      </w:r>
    </w:p>
    <w:p>
      <w:pPr>
        <w:pStyle w:val="ListBullet"/>
      </w:pPr>
      <w:r>
        <w:t>If corporate, are there existing shareholders/board members in RocketX who must approve this transaction?</w:t>
      </w:r>
    </w:p>
    <w:p>
      <w:pPr>
        <w:pStyle w:val="ListBullet"/>
      </w:pPr>
      <w:r>
        <w:t>Are there any restrictions in RocketX's existing FSP licence that would limit it from holding equity in another FSP applicant?</w:t>
      </w:r>
    </w:p>
    <w:p>
      <w:pPr>
        <w:pStyle w:val="Heading2"/>
      </w:pPr>
      <w:r>
        <w:rPr>
          <w:rFonts w:ascii="Calibri" w:hAnsi="Calibri"/>
          <w:color w:val="C9A227"/>
        </w:rPr>
        <w:t>6.3 Operational Role</w:t>
      </w:r>
    </w:p>
    <w:p>
      <w:pPr>
        <w:pStyle w:val="ListBullet"/>
      </w:pPr>
      <w:r>
        <w:t>Will RocketX want a board seat? Voting or observer?</w:t>
      </w:r>
    </w:p>
    <w:p>
      <w:pPr>
        <w:pStyle w:val="ListBullet"/>
      </w:pPr>
      <w:r>
        <w:t>Beyond the licence, what active role does the CEO see RocketX playing — strategic guidance, introductions, infrastructure sharing?</w:t>
      </w:r>
    </w:p>
    <w:p>
      <w:pPr>
        <w:pStyle w:val="ListBullet"/>
      </w:pPr>
      <w:r>
        <w:t>Will RocketX provide the Key Individual on a permanent basis, or only during the JR phase?</w:t>
      </w:r>
    </w:p>
    <w:p>
      <w:pPr>
        <w:pStyle w:val="Heading2"/>
      </w:pPr>
      <w:r>
        <w:rPr>
          <w:rFonts w:ascii="Calibri" w:hAnsi="Calibri"/>
          <w:color w:val="C9A227"/>
        </w:rPr>
        <w:t>6.4 JR Operations and Renewal</w:t>
      </w:r>
    </w:p>
    <w:p>
      <w:pPr>
        <w:pStyle w:val="ListBullet"/>
      </w:pPr>
      <w:r>
        <w:t>Does RocketX's current FSP licence have the right categories (and CASP authorisation, if applicable) to host BitWealth as JR for the LTH PVR strategy?</w:t>
      </w:r>
    </w:p>
    <w:p>
      <w:pPr>
        <w:pStyle w:val="ListBullet"/>
      </w:pPr>
      <w:r>
        <w:t>Who would you propose as the assigned KI, and what is their documented capacity for ongoing supervision of this strategy?</w:t>
      </w:r>
    </w:p>
    <w:p>
      <w:pPr>
        <w:pStyle w:val="ListBullet"/>
      </w:pPr>
      <w:r>
        <w:t>What are RocketX's JR onboarding fees and ongoing supervision fees, if any?</w:t>
      </w:r>
    </w:p>
    <w:p>
      <w:pPr>
        <w:pStyle w:val="ListBullet"/>
      </w:pPr>
      <w:r>
        <w:t>What is your preferred PI insurance arrangement — extension of RocketX's policy, or BitWealth carries its own?</w:t>
      </w:r>
    </w:p>
    <w:p>
      <w:pPr>
        <w:pStyle w:val="ListBullet"/>
      </w:pPr>
      <w:r>
        <w:t>What is the formal renewal/non-renewal process and notice mechanism?</w:t>
      </w:r>
    </w:p>
    <w:p>
      <w:pPr>
        <w:pStyle w:val="Heading2"/>
      </w:pPr>
      <w:r>
        <w:rPr>
          <w:rFonts w:ascii="Calibri" w:hAnsi="Calibri"/>
          <w:color w:val="C9A227"/>
        </w:rPr>
        <w:t>6.5 JR-to-Equity Transition (Phase 2)</w:t>
      </w:r>
    </w:p>
    <w:p>
      <w:pPr>
        <w:pStyle w:val="ListBullet"/>
      </w:pPr>
      <w:r>
        <w:t>What is the trigger to open Phase 2 discussions — we propose 90 days before each annual renewal date?</w:t>
      </w:r>
    </w:p>
    <w:p>
      <w:pPr>
        <w:pStyle w:val="ListBullet"/>
      </w:pPr>
      <w:r>
        <w:t>On Phase 2 effective date, the JR fee-share falls away and is replaced by intra-group operating arrangements — agreed in principle?</w:t>
      </w:r>
    </w:p>
    <w:p>
      <w:pPr>
        <w:pStyle w:val="ListBullet"/>
      </w:pPr>
      <w:r>
        <w:t>Are there any RocketX board or shareholder constraints around taking equity in a JR's underlying IP company?</w:t>
      </w:r>
    </w:p>
    <w:p>
      <w:pPr>
        <w:pStyle w:val="Heading2"/>
      </w:pPr>
      <w:r>
        <w:rPr>
          <w:rFonts w:ascii="Calibri" w:hAnsi="Calibri"/>
          <w:color w:val="C9A227"/>
        </w:rPr>
        <w:t>6.6 Exit and Protections</w:t>
      </w:r>
    </w:p>
    <w:p>
      <w:pPr>
        <w:pStyle w:val="ListBullet"/>
      </w:pPr>
      <w:r>
        <w:t>Will RocketX accept reverse vesting (i.e. equity vests over 3 years; unvested shares forfeited if RocketX exits early)?</w:t>
      </w:r>
    </w:p>
    <w:p>
      <w:pPr>
        <w:pStyle w:val="ListBullet"/>
      </w:pPr>
      <w:r>
        <w:t>Tag-along, drag-along, and ROFR clauses — acceptable in principle?</w:t>
      </w:r>
    </w:p>
    <w:p>
      <w:pPr>
        <w:pStyle w:val="ListBullet"/>
      </w:pPr>
      <w:r>
        <w:t>Founder veto rights on changes to strategy, capital structure, or sale of business — acceptable?</w:t>
      </w:r>
    </w:p>
    <w:p>
      <w:pPr>
        <w:pStyle w:val="Heading1"/>
      </w:pPr>
      <w:r>
        <w:rPr>
          <w:rFonts w:ascii="Calibri" w:hAnsi="Calibri"/>
          <w:color w:val="C9A227"/>
        </w:rPr>
        <w:t>7. Recommended Path Forward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567"/>
            <w:shd w:val="clear" w:color="auto" w:fill="F5EBC8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4535"/>
            <w:shd w:val="clear" w:color="auto" w:fill="F5EBC8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Owner</w:t>
            </w:r>
          </w:p>
        </w:tc>
        <w:tc>
          <w:tcPr>
            <w:tcW w:type="dxa" w:w="2268"/>
            <w:shd w:val="clear" w:color="auto" w:fill="F5EBC8"/>
          </w:tcPr>
          <w:p>
            <w:r/>
            <w:r>
              <w:rPr>
                <w:b/>
                <w:sz w:val="20"/>
              </w:rPr>
              <w:t>Timing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Sign IP Assignment Agreement transferring all LTH PVR IP from Founder to BitWealth (Pty) Ltd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Founder + Attorney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Before any partnership discussion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Execute JR Agreement; RocketX lodges JR appointment with FSCA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All parties + Attorney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On agreement of terms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KI onboarding, PI insurance arrangement, client mandate templates approved by KI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RocketX KI + BitWealth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In parallel with FSCA approval (30–60 days)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Phase 1 go-live: begin onboarding clients under JR appointment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BitWealth + Simon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Immediately on FSCA approval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Operate Year 1 as JR; review performance, AUM, regulatory record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All parties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Months 1–9 of JR term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Phase 2 window opens: mutually decide to (a) renew JR for Year 2, (b) sign SHA and supersede JR, or (c) part ways at renewal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All parties + Attorney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90 days before JR renewal date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Submit own FSP licence application (running in parallel as continuity option)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Founder + Compliance Officer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Within 12 months</w:t>
            </w:r>
          </w:p>
        </w:tc>
      </w:tr>
    </w:tbl>
    <w:p>
      <w:pPr>
        <w:pStyle w:val="Heading1"/>
      </w:pPr>
      <w:r>
        <w:rPr>
          <w:rFonts w:ascii="Calibri" w:hAnsi="Calibri"/>
          <w:color w:val="C9A227"/>
        </w:rPr>
        <w:t>8. Key Risks to Manage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402"/>
            <w:shd w:val="clear" w:color="auto" w:fill="F5EBC8"/>
          </w:tcPr>
          <w:p>
            <w:r/>
            <w:r>
              <w:rPr>
                <w:b/>
                <w:sz w:val="20"/>
              </w:rPr>
              <w:t>Risk</w:t>
            </w:r>
          </w:p>
        </w:tc>
        <w:tc>
          <w:tcPr>
            <w:tcW w:type="dxa" w:w="5953"/>
            <w:shd w:val="clear" w:color="auto" w:fill="F5EBC8"/>
          </w:tcPr>
          <w:p>
            <w:r/>
            <w:r>
              <w:rPr>
                <w:b/>
                <w:sz w:val="20"/>
              </w:rPr>
              <w:t>Mitigant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Founder loses control through dilution at Phase 2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Cap RocketX + Simon combined at &lt;50% in initial round; supermajority required for further dilution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RocketX uses JR-licence dependency as leverage at renewal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Explicit right in JR Agreement for BitWealth to apply for its own FSP or move to another FSP; pursue own FSP licence in parallel from Year 1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FSCA delays in approving the JR appointment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Lodge appointment immediately after signing; agree interim arrangements; allow 30–60 day window in go-live planning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Assigned KI lacks capacity to supervise the strategy properly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Document KI capacity and supervision plan in the JR Agreement; named KI with stated hours allocated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Non-renewal of JR by RocketX (single-point-of-failure)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90-day notice period; client-portability clause; BitWealth's own FSP application running in parallel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Conflicts of interest between FSP fee-share and client interests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Documented COI management plan; full client disclosure of fee-share and any equity interests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Simon underdelivers on distribution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At Phase 2: vesting schedule with performance milestones; reverse vesting if AUM targets missed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IP disputes if Founder exits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All IP assigned to BitWealth (Pty) Ltd before any equity is issued</w:t>
            </w:r>
          </w:p>
        </w:tc>
      </w:tr>
      <w:tr>
        <w:tc>
          <w:tcPr>
            <w:tcW w:type="dxa" w:w="3402"/>
          </w:tcPr>
          <w:p>
            <w:r/>
            <w:r>
              <w:rPr>
                <w:sz w:val="20"/>
              </w:rPr>
              <w:t>Client portability if JR ends</w:t>
            </w:r>
          </w:p>
        </w:tc>
        <w:tc>
          <w:tcPr>
            <w:tcW w:type="dxa" w:w="5953"/>
          </w:tcPr>
          <w:p>
            <w:r/>
            <w:r>
              <w:rPr>
                <w:sz w:val="20"/>
              </w:rPr>
              <w:t>Client mandates explicitly with BitWealth as JR; written portability clause; clients informed of the JR/FSP structure on onboarding</w:t>
            </w:r>
          </w:p>
        </w:tc>
      </w:tr>
    </w:tbl>
    <w:p/>
    <w:p>
      <w:pPr>
        <w:jc w:val="center"/>
      </w:pPr>
      <w:r>
        <w:rPr>
          <w:i/>
          <w:color w:val="555555"/>
          <w:sz w:val="18"/>
        </w:rPr>
        <w:t>This document is a discussion framework prepared by the Founder of BitWealth (Pty) Ltd. All terms are non-binding and subject to negotiation and formal legal documentation. Final agreements should be drafted and reviewed by attorneys experienced in financial services partnerships and shareholder agreements in South Africa.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