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3569" w14:textId="3EACE951" w:rsidR="00E025F9" w:rsidRDefault="00E025F9">
      <w:r>
        <w:t>Anotações:</w:t>
      </w:r>
      <w:r>
        <w:br/>
      </w:r>
      <w:r>
        <w:br/>
        <w:t>- Seria interessante desenhar duas personas diferentes, uma que seria a para o dono de marca e a outra seria para donos de empresa (ou responsáveis pela compra do uniforme) que buscam fornecedores para os uniformes das suas empresas, e assim fazer a comunicação mais adequada para cada persona.</w:t>
      </w:r>
    </w:p>
    <w:sectPr w:rsidR="00E02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F9"/>
    <w:rsid w:val="00AA2BA4"/>
    <w:rsid w:val="00E0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2DABE"/>
  <w15:chartTrackingRefBased/>
  <w15:docId w15:val="{9B89F701-F504-4B13-A4EF-8801768B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2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2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2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2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2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25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25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25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25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25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25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25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25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25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2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25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2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daviPYJS</dc:creator>
  <cp:keywords/>
  <dc:description/>
  <cp:lastModifiedBy>daviPYJS</cp:lastModifiedBy>
  <cp:revision>1</cp:revision>
  <dcterms:created xsi:type="dcterms:W3CDTF">2026-07-30T17:58:00Z</dcterms:created>
  <dcterms:modified xsi:type="dcterms:W3CDTF">2026-07-30T17:59:00Z</dcterms:modified>
</cp:coreProperties>
</file>