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Caso Prático: O que explica as vendas de um jogo?</w:t>
      </w:r>
    </w:p>
    <w:p>
      <w:r>
        <w:t>Disciplina: Linguagens de Programação</w:t>
        <w:br/>
        <w:t>Professor: Octavio Locatelli</w:t>
        <w:br/>
        <w:t>Aluno: Davi</w:t>
      </w:r>
    </w:p>
    <w:p>
      <w:pPr>
        <w:pStyle w:val="Heading1"/>
      </w:pPr>
      <w:r>
        <w:t>1. Conhecendo os dados</w:t>
      </w:r>
    </w:p>
    <w:p>
      <w:r>
        <w:t>A base possui 16719 linhas e 16 colunas (um jogo/plataforma por linha).</w:t>
      </w:r>
    </w:p>
    <w:p>
      <w:r>
        <w:t>Primeiras observações (colunas principais):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Name</w:t>
            </w:r>
          </w:p>
        </w:tc>
        <w:tc>
          <w:tcPr>
            <w:tcW w:type="dxa" w:w="960"/>
          </w:tcPr>
          <w:p>
            <w:r>
              <w:t>Platform</w:t>
            </w:r>
          </w:p>
        </w:tc>
        <w:tc>
          <w:tcPr>
            <w:tcW w:type="dxa" w:w="960"/>
          </w:tcPr>
          <w:p>
            <w:r>
              <w:t>Genre</w:t>
            </w:r>
          </w:p>
        </w:tc>
        <w:tc>
          <w:tcPr>
            <w:tcW w:type="dxa" w:w="960"/>
          </w:tcPr>
          <w:p>
            <w:r>
              <w:t>NA_Sales</w:t>
            </w:r>
          </w:p>
        </w:tc>
        <w:tc>
          <w:tcPr>
            <w:tcW w:type="dxa" w:w="960"/>
          </w:tcPr>
          <w:p>
            <w:r>
              <w:t>EU_Sales</w:t>
            </w:r>
          </w:p>
        </w:tc>
        <w:tc>
          <w:tcPr>
            <w:tcW w:type="dxa" w:w="960"/>
          </w:tcPr>
          <w:p>
            <w:r>
              <w:t>JP_Sales</w:t>
            </w:r>
          </w:p>
        </w:tc>
        <w:tc>
          <w:tcPr>
            <w:tcW w:type="dxa" w:w="960"/>
          </w:tcPr>
          <w:p>
            <w:r>
              <w:t>Global_Sales</w:t>
            </w:r>
          </w:p>
        </w:tc>
        <w:tc>
          <w:tcPr>
            <w:tcW w:type="dxa" w:w="960"/>
          </w:tcPr>
          <w:p>
            <w:r>
              <w:t>Critic_Score</w:t>
            </w:r>
          </w:p>
        </w:tc>
        <w:tc>
          <w:tcPr>
            <w:tcW w:type="dxa" w:w="960"/>
          </w:tcPr>
          <w:p>
            <w:r>
              <w:t>User_Score</w:t>
            </w:r>
          </w:p>
        </w:tc>
      </w:tr>
      <w:tr>
        <w:tc>
          <w:tcPr>
            <w:tcW w:type="dxa" w:w="960"/>
          </w:tcPr>
          <w:p>
            <w:r>
              <w:t>Wii Sports</w:t>
            </w:r>
          </w:p>
        </w:tc>
        <w:tc>
          <w:tcPr>
            <w:tcW w:type="dxa" w:w="960"/>
          </w:tcPr>
          <w:p>
            <w:r>
              <w:t>Wii</w:t>
            </w:r>
          </w:p>
        </w:tc>
        <w:tc>
          <w:tcPr>
            <w:tcW w:type="dxa" w:w="960"/>
          </w:tcPr>
          <w:p>
            <w:r>
              <w:t>Sports</w:t>
            </w:r>
          </w:p>
        </w:tc>
        <w:tc>
          <w:tcPr>
            <w:tcW w:type="dxa" w:w="960"/>
          </w:tcPr>
          <w:p>
            <w:r>
              <w:t>41.36</w:t>
            </w:r>
          </w:p>
        </w:tc>
        <w:tc>
          <w:tcPr>
            <w:tcW w:type="dxa" w:w="960"/>
          </w:tcPr>
          <w:p>
            <w:r>
              <w:t>28.96</w:t>
            </w:r>
          </w:p>
        </w:tc>
        <w:tc>
          <w:tcPr>
            <w:tcW w:type="dxa" w:w="960"/>
          </w:tcPr>
          <w:p>
            <w:r>
              <w:t>3.77</w:t>
            </w:r>
          </w:p>
        </w:tc>
        <w:tc>
          <w:tcPr>
            <w:tcW w:type="dxa" w:w="960"/>
          </w:tcPr>
          <w:p>
            <w:r>
              <w:t>82.53</w:t>
            </w:r>
          </w:p>
        </w:tc>
        <w:tc>
          <w:tcPr>
            <w:tcW w:type="dxa" w:w="960"/>
          </w:tcPr>
          <w:p>
            <w:r>
              <w:t>76.0</w:t>
            </w:r>
          </w:p>
        </w:tc>
        <w:tc>
          <w:tcPr>
            <w:tcW w:type="dxa" w:w="960"/>
          </w:tcPr>
          <w:p>
            <w:r>
              <w:t>8.0</w:t>
            </w:r>
          </w:p>
        </w:tc>
      </w:tr>
      <w:tr>
        <w:tc>
          <w:tcPr>
            <w:tcW w:type="dxa" w:w="960"/>
          </w:tcPr>
          <w:p>
            <w:r>
              <w:t>Super Mario Bros.</w:t>
            </w:r>
          </w:p>
        </w:tc>
        <w:tc>
          <w:tcPr>
            <w:tcW w:type="dxa" w:w="960"/>
          </w:tcPr>
          <w:p>
            <w:r>
              <w:t>NES</w:t>
            </w:r>
          </w:p>
        </w:tc>
        <w:tc>
          <w:tcPr>
            <w:tcW w:type="dxa" w:w="960"/>
          </w:tcPr>
          <w:p>
            <w:r>
              <w:t>Platform</w:t>
            </w:r>
          </w:p>
        </w:tc>
        <w:tc>
          <w:tcPr>
            <w:tcW w:type="dxa" w:w="960"/>
          </w:tcPr>
          <w:p>
            <w:r>
              <w:t>29.08</w:t>
            </w:r>
          </w:p>
        </w:tc>
        <w:tc>
          <w:tcPr>
            <w:tcW w:type="dxa" w:w="960"/>
          </w:tcPr>
          <w:p>
            <w:r>
              <w:t>3.58</w:t>
            </w:r>
          </w:p>
        </w:tc>
        <w:tc>
          <w:tcPr>
            <w:tcW w:type="dxa" w:w="960"/>
          </w:tcPr>
          <w:p>
            <w:r>
              <w:t>6.81</w:t>
            </w:r>
          </w:p>
        </w:tc>
        <w:tc>
          <w:tcPr>
            <w:tcW w:type="dxa" w:w="960"/>
          </w:tcPr>
          <w:p>
            <w:r>
              <w:t>40.24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Mario Kart Wii</w:t>
            </w:r>
          </w:p>
        </w:tc>
        <w:tc>
          <w:tcPr>
            <w:tcW w:type="dxa" w:w="960"/>
          </w:tcPr>
          <w:p>
            <w:r>
              <w:t>Wii</w:t>
            </w:r>
          </w:p>
        </w:tc>
        <w:tc>
          <w:tcPr>
            <w:tcW w:type="dxa" w:w="960"/>
          </w:tcPr>
          <w:p>
            <w:r>
              <w:t>Racing</w:t>
            </w:r>
          </w:p>
        </w:tc>
        <w:tc>
          <w:tcPr>
            <w:tcW w:type="dxa" w:w="960"/>
          </w:tcPr>
          <w:p>
            <w:r>
              <w:t>15.68</w:t>
            </w:r>
          </w:p>
        </w:tc>
        <w:tc>
          <w:tcPr>
            <w:tcW w:type="dxa" w:w="960"/>
          </w:tcPr>
          <w:p>
            <w:r>
              <w:t>12.76</w:t>
            </w:r>
          </w:p>
        </w:tc>
        <w:tc>
          <w:tcPr>
            <w:tcW w:type="dxa" w:w="960"/>
          </w:tcPr>
          <w:p>
            <w:r>
              <w:t>3.79</w:t>
            </w:r>
          </w:p>
        </w:tc>
        <w:tc>
          <w:tcPr>
            <w:tcW w:type="dxa" w:w="960"/>
          </w:tcPr>
          <w:p>
            <w:r>
              <w:t>35.52</w:t>
            </w:r>
          </w:p>
        </w:tc>
        <w:tc>
          <w:tcPr>
            <w:tcW w:type="dxa" w:w="960"/>
          </w:tcPr>
          <w:p>
            <w:r>
              <w:t>82.0</w:t>
            </w:r>
          </w:p>
        </w:tc>
        <w:tc>
          <w:tcPr>
            <w:tcW w:type="dxa" w:w="960"/>
          </w:tcPr>
          <w:p>
            <w:r>
              <w:t>8.3</w:t>
            </w:r>
          </w:p>
        </w:tc>
      </w:tr>
      <w:tr>
        <w:tc>
          <w:tcPr>
            <w:tcW w:type="dxa" w:w="960"/>
          </w:tcPr>
          <w:p>
            <w:r>
              <w:t>Wii Sports Resort</w:t>
            </w:r>
          </w:p>
        </w:tc>
        <w:tc>
          <w:tcPr>
            <w:tcW w:type="dxa" w:w="960"/>
          </w:tcPr>
          <w:p>
            <w:r>
              <w:t>Wii</w:t>
            </w:r>
          </w:p>
        </w:tc>
        <w:tc>
          <w:tcPr>
            <w:tcW w:type="dxa" w:w="960"/>
          </w:tcPr>
          <w:p>
            <w:r>
              <w:t>Sports</w:t>
            </w:r>
          </w:p>
        </w:tc>
        <w:tc>
          <w:tcPr>
            <w:tcW w:type="dxa" w:w="960"/>
          </w:tcPr>
          <w:p>
            <w:r>
              <w:t>15.61</w:t>
            </w:r>
          </w:p>
        </w:tc>
        <w:tc>
          <w:tcPr>
            <w:tcW w:type="dxa" w:w="960"/>
          </w:tcPr>
          <w:p>
            <w:r>
              <w:t>10.93</w:t>
            </w:r>
          </w:p>
        </w:tc>
        <w:tc>
          <w:tcPr>
            <w:tcW w:type="dxa" w:w="960"/>
          </w:tcPr>
          <w:p>
            <w:r>
              <w:t>3.28</w:t>
            </w:r>
          </w:p>
        </w:tc>
        <w:tc>
          <w:tcPr>
            <w:tcW w:type="dxa" w:w="960"/>
          </w:tcPr>
          <w:p>
            <w:r>
              <w:t>32.77</w:t>
            </w:r>
          </w:p>
        </w:tc>
        <w:tc>
          <w:tcPr>
            <w:tcW w:type="dxa" w:w="960"/>
          </w:tcPr>
          <w:p>
            <w:r>
              <w:t>80.0</w:t>
            </w:r>
          </w:p>
        </w:tc>
        <w:tc>
          <w:tcPr>
            <w:tcW w:type="dxa" w:w="960"/>
          </w:tcPr>
          <w:p>
            <w:r>
              <w:t>8.0</w:t>
            </w:r>
          </w:p>
        </w:tc>
      </w:tr>
      <w:tr>
        <w:tc>
          <w:tcPr>
            <w:tcW w:type="dxa" w:w="960"/>
          </w:tcPr>
          <w:p>
            <w:r>
              <w:t>Pokemon Red/Pokemon Blue</w:t>
            </w:r>
          </w:p>
        </w:tc>
        <w:tc>
          <w:tcPr>
            <w:tcW w:type="dxa" w:w="960"/>
          </w:tcPr>
          <w:p>
            <w:r>
              <w:t>GB</w:t>
            </w:r>
          </w:p>
        </w:tc>
        <w:tc>
          <w:tcPr>
            <w:tcW w:type="dxa" w:w="960"/>
          </w:tcPr>
          <w:p>
            <w:r>
              <w:t>Role-Playing</w:t>
            </w:r>
          </w:p>
        </w:tc>
        <w:tc>
          <w:tcPr>
            <w:tcW w:type="dxa" w:w="960"/>
          </w:tcPr>
          <w:p>
            <w:r>
              <w:t>11.27</w:t>
            </w:r>
          </w:p>
        </w:tc>
        <w:tc>
          <w:tcPr>
            <w:tcW w:type="dxa" w:w="960"/>
          </w:tcPr>
          <w:p>
            <w:r>
              <w:t>8.89</w:t>
            </w:r>
          </w:p>
        </w:tc>
        <w:tc>
          <w:tcPr>
            <w:tcW w:type="dxa" w:w="960"/>
          </w:tcPr>
          <w:p>
            <w:r>
              <w:t>10.22</w:t>
            </w:r>
          </w:p>
        </w:tc>
        <w:tc>
          <w:tcPr>
            <w:tcW w:type="dxa" w:w="960"/>
          </w:tcPr>
          <w:p>
            <w:r>
              <w:t>31.37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t>Tipos das variáveis: Name, Platform, Genre, Publisher, Developer e Rating são texto; as demais (Year_of_Release, vendas, Critic_Score, Critic_Count, User_Score e User_Count) são numéricas (float64).</w:t>
      </w:r>
    </w:p>
    <w:p>
      <w:r>
        <w:t>Valores ausentes: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Variável</w:t>
            </w:r>
          </w:p>
        </w:tc>
        <w:tc>
          <w:tcPr>
            <w:tcW w:type="dxa" w:w="4320"/>
          </w:tcPr>
          <w:p>
            <w:r>
              <w:t>Ausentes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Year_of_Release</w:t>
            </w:r>
          </w:p>
        </w:tc>
        <w:tc>
          <w:tcPr>
            <w:tcW w:type="dxa" w:w="4320"/>
          </w:tcPr>
          <w:p>
            <w:r>
              <w:t>269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Publisher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Critic_Score</w:t>
            </w:r>
          </w:p>
        </w:tc>
        <w:tc>
          <w:tcPr>
            <w:tcW w:type="dxa" w:w="4320"/>
          </w:tcPr>
          <w:p>
            <w:r>
              <w:t>8582</w:t>
            </w:r>
          </w:p>
        </w:tc>
      </w:tr>
      <w:tr>
        <w:tc>
          <w:tcPr>
            <w:tcW w:type="dxa" w:w="4320"/>
          </w:tcPr>
          <w:p>
            <w:r>
              <w:t>Critic_Count</w:t>
            </w:r>
          </w:p>
        </w:tc>
        <w:tc>
          <w:tcPr>
            <w:tcW w:type="dxa" w:w="4320"/>
          </w:tcPr>
          <w:p>
            <w:r>
              <w:t>8582</w:t>
            </w:r>
          </w:p>
        </w:tc>
      </w:tr>
      <w:tr>
        <w:tc>
          <w:tcPr>
            <w:tcW w:type="dxa" w:w="4320"/>
          </w:tcPr>
          <w:p>
            <w:r>
              <w:t>User_Score</w:t>
            </w:r>
          </w:p>
        </w:tc>
        <w:tc>
          <w:tcPr>
            <w:tcW w:type="dxa" w:w="4320"/>
          </w:tcPr>
          <w:p>
            <w:r>
              <w:t>9129</w:t>
            </w:r>
          </w:p>
        </w:tc>
      </w:tr>
      <w:tr>
        <w:tc>
          <w:tcPr>
            <w:tcW w:type="dxa" w:w="4320"/>
          </w:tcPr>
          <w:p>
            <w:r>
              <w:t>User_Count</w:t>
            </w:r>
          </w:p>
        </w:tc>
        <w:tc>
          <w:tcPr>
            <w:tcW w:type="dxa" w:w="4320"/>
          </w:tcPr>
          <w:p>
            <w:r>
              <w:t>9129</w:t>
            </w:r>
          </w:p>
        </w:tc>
      </w:tr>
      <w:tr>
        <w:tc>
          <w:tcPr>
            <w:tcW w:type="dxa" w:w="4320"/>
          </w:tcPr>
          <w:p>
            <w:r>
              <w:t>Developer</w:t>
            </w:r>
          </w:p>
        </w:tc>
        <w:tc>
          <w:tcPr>
            <w:tcW w:type="dxa" w:w="4320"/>
          </w:tcPr>
          <w:p>
            <w:r>
              <w:t>6623</w:t>
            </w:r>
          </w:p>
        </w:tc>
      </w:tr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6769</w:t>
            </w:r>
          </w:p>
        </w:tc>
      </w:tr>
    </w:tbl>
    <w:p/>
    <w:p>
      <w:r>
        <w:t>Destaque: Critic_Score tem 8582 ausentes e User_Score 9129 (cerca de metade da base), pois muitos jogos não receberam avaliação.</w:t>
      </w:r>
    </w:p>
    <w:p>
      <w:r>
        <w:t>Estatísticas descritivas das principais variáveis: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Estatística</w:t>
            </w:r>
          </w:p>
        </w:tc>
        <w:tc>
          <w:tcPr>
            <w:tcW w:type="dxa" w:w="1234"/>
          </w:tcPr>
          <w:p>
            <w:r>
              <w:t>NA_Sales</w:t>
            </w:r>
          </w:p>
        </w:tc>
        <w:tc>
          <w:tcPr>
            <w:tcW w:type="dxa" w:w="1234"/>
          </w:tcPr>
          <w:p>
            <w:r>
              <w:t>EU_Sales</w:t>
            </w:r>
          </w:p>
        </w:tc>
        <w:tc>
          <w:tcPr>
            <w:tcW w:type="dxa" w:w="1234"/>
          </w:tcPr>
          <w:p>
            <w:r>
              <w:t>JP_Sales</w:t>
            </w:r>
          </w:p>
        </w:tc>
        <w:tc>
          <w:tcPr>
            <w:tcW w:type="dxa" w:w="1234"/>
          </w:tcPr>
          <w:p>
            <w:r>
              <w:t>Global_Sales</w:t>
            </w:r>
          </w:p>
        </w:tc>
        <w:tc>
          <w:tcPr>
            <w:tcW w:type="dxa" w:w="1234"/>
          </w:tcPr>
          <w:p>
            <w:r>
              <w:t>Critic_Score</w:t>
            </w:r>
          </w:p>
        </w:tc>
        <w:tc>
          <w:tcPr>
            <w:tcW w:type="dxa" w:w="1234"/>
          </w:tcPr>
          <w:p>
            <w:r>
              <w:t>User_Score</w:t>
            </w:r>
          </w:p>
        </w:tc>
      </w:tr>
      <w:tr>
        <w:tc>
          <w:tcPr>
            <w:tcW w:type="dxa" w:w="1234"/>
          </w:tcPr>
          <w:p>
            <w:r>
              <w:t>count</w:t>
            </w:r>
          </w:p>
        </w:tc>
        <w:tc>
          <w:tcPr>
            <w:tcW w:type="dxa" w:w="1234"/>
          </w:tcPr>
          <w:p>
            <w:r>
              <w:t>16719.0</w:t>
            </w:r>
          </w:p>
        </w:tc>
        <w:tc>
          <w:tcPr>
            <w:tcW w:type="dxa" w:w="1234"/>
          </w:tcPr>
          <w:p>
            <w:r>
              <w:t>16719.0</w:t>
            </w:r>
          </w:p>
        </w:tc>
        <w:tc>
          <w:tcPr>
            <w:tcW w:type="dxa" w:w="1234"/>
          </w:tcPr>
          <w:p>
            <w:r>
              <w:t>16719.0</w:t>
            </w:r>
          </w:p>
        </w:tc>
        <w:tc>
          <w:tcPr>
            <w:tcW w:type="dxa" w:w="1234"/>
          </w:tcPr>
          <w:p>
            <w:r>
              <w:t>16719.0</w:t>
            </w:r>
          </w:p>
        </w:tc>
        <w:tc>
          <w:tcPr>
            <w:tcW w:type="dxa" w:w="1234"/>
          </w:tcPr>
          <w:p>
            <w:r>
              <w:t>8137.0</w:t>
            </w:r>
          </w:p>
        </w:tc>
        <w:tc>
          <w:tcPr>
            <w:tcW w:type="dxa" w:w="1234"/>
          </w:tcPr>
          <w:p>
            <w:r>
              <w:t>7590.0</w:t>
            </w:r>
          </w:p>
        </w:tc>
      </w:tr>
      <w:tr>
        <w:tc>
          <w:tcPr>
            <w:tcW w:type="dxa" w:w="1234"/>
          </w:tcPr>
          <w:p>
            <w:r>
              <w:t>mean</w:t>
            </w:r>
          </w:p>
        </w:tc>
        <w:tc>
          <w:tcPr>
            <w:tcW w:type="dxa" w:w="1234"/>
          </w:tcPr>
          <w:p>
            <w:r>
              <w:t>0.26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  <w:tc>
          <w:tcPr>
            <w:tcW w:type="dxa" w:w="1234"/>
          </w:tcPr>
          <w:p>
            <w:r>
              <w:t>0.08</w:t>
            </w:r>
          </w:p>
        </w:tc>
        <w:tc>
          <w:tcPr>
            <w:tcW w:type="dxa" w:w="1234"/>
          </w:tcPr>
          <w:p>
            <w:r>
              <w:t>0.53</w:t>
            </w:r>
          </w:p>
        </w:tc>
        <w:tc>
          <w:tcPr>
            <w:tcW w:type="dxa" w:w="1234"/>
          </w:tcPr>
          <w:p>
            <w:r>
              <w:t>68.97</w:t>
            </w:r>
          </w:p>
        </w:tc>
        <w:tc>
          <w:tcPr>
            <w:tcW w:type="dxa" w:w="1234"/>
          </w:tcPr>
          <w:p>
            <w:r>
              <w:t>7.13</w:t>
            </w:r>
          </w:p>
        </w:tc>
      </w:tr>
      <w:tr>
        <w:tc>
          <w:tcPr>
            <w:tcW w:type="dxa" w:w="1234"/>
          </w:tcPr>
          <w:p>
            <w:r>
              <w:t>std</w:t>
            </w:r>
          </w:p>
        </w:tc>
        <w:tc>
          <w:tcPr>
            <w:tcW w:type="dxa" w:w="1234"/>
          </w:tcPr>
          <w:p>
            <w:r>
              <w:t>0.81</w:t>
            </w:r>
          </w:p>
        </w:tc>
        <w:tc>
          <w:tcPr>
            <w:tcW w:type="dxa" w:w="1234"/>
          </w:tcPr>
          <w:p>
            <w:r>
              <w:t>0.5</w:t>
            </w:r>
          </w:p>
        </w:tc>
        <w:tc>
          <w:tcPr>
            <w:tcW w:type="dxa" w:w="1234"/>
          </w:tcPr>
          <w:p>
            <w:r>
              <w:t>0.31</w:t>
            </w:r>
          </w:p>
        </w:tc>
        <w:tc>
          <w:tcPr>
            <w:tcW w:type="dxa" w:w="1234"/>
          </w:tcPr>
          <w:p>
            <w:r>
              <w:t>1.55</w:t>
            </w:r>
          </w:p>
        </w:tc>
        <w:tc>
          <w:tcPr>
            <w:tcW w:type="dxa" w:w="1234"/>
          </w:tcPr>
          <w:p>
            <w:r>
              <w:t>13.94</w:t>
            </w:r>
          </w:p>
        </w:tc>
        <w:tc>
          <w:tcPr>
            <w:tcW w:type="dxa" w:w="1234"/>
          </w:tcPr>
          <w:p>
            <w:r>
              <w:t>1.5</w:t>
            </w:r>
          </w:p>
        </w:tc>
      </w:tr>
      <w:tr>
        <w:tc>
          <w:tcPr>
            <w:tcW w:type="dxa" w:w="1234"/>
          </w:tcPr>
          <w:p>
            <w:r>
              <w:t>min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0.01</w:t>
            </w:r>
          </w:p>
        </w:tc>
        <w:tc>
          <w:tcPr>
            <w:tcW w:type="dxa" w:w="1234"/>
          </w:tcPr>
          <w:p>
            <w:r>
              <w:t>13.0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</w:tr>
      <w:tr>
        <w:tc>
          <w:tcPr>
            <w:tcW w:type="dxa" w:w="1234"/>
          </w:tcPr>
          <w:p>
            <w:r>
              <w:t>25%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6.4</w:t>
            </w:r>
          </w:p>
        </w:tc>
      </w:tr>
      <w:tr>
        <w:tc>
          <w:tcPr>
            <w:tcW w:type="dxa" w:w="1234"/>
          </w:tcPr>
          <w:p>
            <w:r>
              <w:t>50%</w:t>
            </w:r>
          </w:p>
        </w:tc>
        <w:tc>
          <w:tcPr>
            <w:tcW w:type="dxa" w:w="1234"/>
          </w:tcPr>
          <w:p>
            <w:r>
              <w:t>0.08</w:t>
            </w:r>
          </w:p>
        </w:tc>
        <w:tc>
          <w:tcPr>
            <w:tcW w:type="dxa" w:w="1234"/>
          </w:tcPr>
          <w:p>
            <w:r>
              <w:t>0.02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0.17</w:t>
            </w:r>
          </w:p>
        </w:tc>
        <w:tc>
          <w:tcPr>
            <w:tcW w:type="dxa" w:w="1234"/>
          </w:tcPr>
          <w:p>
            <w:r>
              <w:t>71.0</w:t>
            </w:r>
          </w:p>
        </w:tc>
        <w:tc>
          <w:tcPr>
            <w:tcW w:type="dxa" w:w="1234"/>
          </w:tcPr>
          <w:p>
            <w:r>
              <w:t>7.5</w:t>
            </w:r>
          </w:p>
        </w:tc>
      </w:tr>
      <w:tr>
        <w:tc>
          <w:tcPr>
            <w:tcW w:type="dxa" w:w="1234"/>
          </w:tcPr>
          <w:p>
            <w:r>
              <w:t>75%</w:t>
            </w:r>
          </w:p>
        </w:tc>
        <w:tc>
          <w:tcPr>
            <w:tcW w:type="dxa" w:w="1234"/>
          </w:tcPr>
          <w:p>
            <w:r>
              <w:t>0.24</w:t>
            </w:r>
          </w:p>
        </w:tc>
        <w:tc>
          <w:tcPr>
            <w:tcW w:type="dxa" w:w="1234"/>
          </w:tcPr>
          <w:p>
            <w:r>
              <w:t>0.11</w:t>
            </w:r>
          </w:p>
        </w:tc>
        <w:tc>
          <w:tcPr>
            <w:tcW w:type="dxa" w:w="1234"/>
          </w:tcPr>
          <w:p>
            <w:r>
              <w:t>0.04</w:t>
            </w:r>
          </w:p>
        </w:tc>
        <w:tc>
          <w:tcPr>
            <w:tcW w:type="dxa" w:w="1234"/>
          </w:tcPr>
          <w:p>
            <w:r>
              <w:t>0.47</w:t>
            </w:r>
          </w:p>
        </w:tc>
        <w:tc>
          <w:tcPr>
            <w:tcW w:type="dxa" w:w="1234"/>
          </w:tcPr>
          <w:p>
            <w:r>
              <w:t>79.0</w:t>
            </w:r>
          </w:p>
        </w:tc>
        <w:tc>
          <w:tcPr>
            <w:tcW w:type="dxa" w:w="1234"/>
          </w:tcPr>
          <w:p>
            <w:r>
              <w:t>8.2</w:t>
            </w:r>
          </w:p>
        </w:tc>
      </w:tr>
      <w:tr>
        <w:tc>
          <w:tcPr>
            <w:tcW w:type="dxa" w:w="1234"/>
          </w:tcPr>
          <w:p>
            <w:r>
              <w:t>max</w:t>
            </w:r>
          </w:p>
        </w:tc>
        <w:tc>
          <w:tcPr>
            <w:tcW w:type="dxa" w:w="1234"/>
          </w:tcPr>
          <w:p>
            <w:r>
              <w:t>41.36</w:t>
            </w:r>
          </w:p>
        </w:tc>
        <w:tc>
          <w:tcPr>
            <w:tcW w:type="dxa" w:w="1234"/>
          </w:tcPr>
          <w:p>
            <w:r>
              <w:t>28.96</w:t>
            </w:r>
          </w:p>
        </w:tc>
        <w:tc>
          <w:tcPr>
            <w:tcW w:type="dxa" w:w="1234"/>
          </w:tcPr>
          <w:p>
            <w:r>
              <w:t>10.22</w:t>
            </w:r>
          </w:p>
        </w:tc>
        <w:tc>
          <w:tcPr>
            <w:tcW w:type="dxa" w:w="1234"/>
          </w:tcPr>
          <w:p>
            <w:r>
              <w:t>82.53</w:t>
            </w:r>
          </w:p>
        </w:tc>
        <w:tc>
          <w:tcPr>
            <w:tcW w:type="dxa" w:w="1234"/>
          </w:tcPr>
          <w:p>
            <w:r>
              <w:t>98.0</w:t>
            </w:r>
          </w:p>
        </w:tc>
        <w:tc>
          <w:tcPr>
            <w:tcW w:type="dxa" w:w="1234"/>
          </w:tcPr>
          <w:p>
            <w:r>
              <w:t>9.7</w:t>
            </w:r>
          </w:p>
        </w:tc>
      </w:tr>
    </w:tbl>
    <w:p/>
    <w:p>
      <w:pPr>
        <w:pStyle w:val="Heading1"/>
      </w:pPr>
      <w:r>
        <w:t>2. Explorando os jogos</w:t>
      </w:r>
    </w:p>
    <w:p>
      <w:pPr>
        <w:pStyle w:val="ListBullet"/>
      </w:pPr>
      <w:r>
        <w:t>Maior venda global: Wii Sports (82,53 milhões de unidades).</w:t>
      </w:r>
    </w:p>
    <w:p>
      <w:pPr>
        <w:pStyle w:val="ListBullet"/>
      </w:pPr>
      <w:r>
        <w:t>Maior venda na América do Norte: Wii Sports (41,36 milhões de unidades).</w:t>
      </w:r>
    </w:p>
    <w:p>
      <w:pPr>
        <w:pStyle w:val="ListBullet"/>
      </w:pPr>
      <w:r>
        <w:t>Maior venda na Europa: Wii Sports (28,96 milhões de unidades).</w:t>
      </w:r>
    </w:p>
    <w:p>
      <w:pPr>
        <w:pStyle w:val="ListBullet"/>
      </w:pPr>
      <w:r>
        <w:t>Maior venda no Japão: Pokemon Red/Pokemon Blue (10,22 milhões de unidades).</w:t>
      </w:r>
    </w:p>
    <w:p>
      <w:pPr>
        <w:pStyle w:val="Heading1"/>
      </w:pPr>
      <w:r>
        <w:t>3. Avaliação × vendas</w:t>
      </w:r>
    </w:p>
    <w:p>
      <w:pPr>
        <w:jc w:val="center"/>
      </w:pPr>
      <w:r/>
    </w:p>
    <w:p>
      <w:r>
        <w:t>Os gráficos mostram uma nuvem de pontos muito dispersa. Há uma leve tendência de alta nas vendas conforme a nota dos críticos sobe (correlação de 0,24), enquanto a nota dos usuários praticamente não mostra relação (correlação de 0,09). Portanto, a relação existe, mas é fraca, principalmente para a nota dos usuários. Muitos jogos com notas altas vendem pouco, e poucos jogos muito vendidos (outliers como Wii Sports) distorcem a escala.</w:t>
      </w:r>
    </w:p>
    <w:p>
      <w:pPr>
        <w:pStyle w:val="Heading1"/>
      </w:pPr>
      <w:r>
        <w:t>4. Modelo de vendas globais</w:t>
      </w:r>
    </w:p>
    <w:p>
      <w:r>
        <w:t>Regressão linear com Y = Global_Sales e X = Critic_Score e User_Score, treino 80% / teste 20% (random_state=42). Foram usados apenas os jogos com as duas notas disponíveis (7017 de 16719), pois preencher as notas ausentes com 0 distorceria o modelo.</w:t>
      </w:r>
    </w:p>
    <w:p>
      <w:pPr>
        <w:pStyle w:val="ListBullet"/>
      </w:pPr>
      <w:r>
        <w:t>Mean Squared Error (MSE): 2,17</w:t>
      </w:r>
    </w:p>
    <w:p>
      <w:pPr>
        <w:pStyle w:val="ListBullet"/>
      </w:pPr>
      <w:r>
        <w:t>R²: 0,11</w:t>
      </w:r>
    </w:p>
    <w:p>
      <w:pPr>
        <w:pStyle w:val="Heading1"/>
      </w:pPr>
      <w:r>
        <w:t>5. O modelo consegue prever as vendas?</w:t>
      </w:r>
    </w:p>
    <w:p>
      <w:r>
        <w:t>Os gráficos abaixo comparam vendas reais e previstas; a linha tracejada é a previsão perfeita. O primeiro painel (Global) responde a esta questão.</w:t>
      </w:r>
    </w:p>
    <w:p>
      <w:pPr>
        <w:jc w:val="center"/>
      </w:pPr>
      <w:r/>
    </w:p>
    <w:p>
      <w:r>
        <w:t>Os pontos estão longe da linha de referência: as previsões ficam concentradas em uma faixa estreita (abaixo de ~1,5 milhão), enquanto as vendas reais variam muito. Com R² de 0,11, o modelo explica cerca de 11% da variação das vendas, ou seja, prevê mal as vendas.</w:t>
      </w:r>
    </w:p>
    <w:p>
      <w:pPr>
        <w:pStyle w:val="Heading1"/>
      </w:pPr>
      <w:r>
        <w:t>6. O comportamento é igual em diferentes mercados?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Mercado</w:t>
            </w:r>
          </w:p>
        </w:tc>
        <w:tc>
          <w:tcPr>
            <w:tcW w:type="dxa" w:w="2880"/>
          </w:tcPr>
          <w:p>
            <w:r>
              <w:t>MSE</w:t>
            </w:r>
          </w:p>
        </w:tc>
        <w:tc>
          <w:tcPr>
            <w:tcW w:type="dxa" w:w="2880"/>
          </w:tcPr>
          <w:p>
            <w:r>
              <w:t>R²</w:t>
            </w:r>
          </w:p>
        </w:tc>
      </w:tr>
      <w:tr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2.17</w:t>
            </w:r>
          </w:p>
        </w:tc>
        <w:tc>
          <w:tcPr>
            <w:tcW w:type="dxa" w:w="2880"/>
          </w:tcPr>
          <w:p>
            <w:r>
              <w:t>0.11</w:t>
            </w:r>
          </w:p>
        </w:tc>
      </w:tr>
      <w:tr>
        <w:tc>
          <w:tcPr>
            <w:tcW w:type="dxa" w:w="2880"/>
          </w:tcPr>
          <w:p>
            <w:r>
              <w:t>América do Norte</w:t>
            </w:r>
          </w:p>
        </w:tc>
        <w:tc>
          <w:tcPr>
            <w:tcW w:type="dxa" w:w="2880"/>
          </w:tcPr>
          <w:p>
            <w:r>
              <w:t>0.66</w:t>
            </w:r>
          </w:p>
        </w:tc>
        <w:tc>
          <w:tcPr>
            <w:tcW w:type="dxa" w:w="2880"/>
          </w:tcPr>
          <w:p>
            <w:r>
              <w:t>0.09</w:t>
            </w:r>
          </w:p>
        </w:tc>
      </w:tr>
      <w:tr>
        <w:tc>
          <w:tcPr>
            <w:tcW w:type="dxa" w:w="2880"/>
          </w:tcPr>
          <w:p>
            <w:r>
              <w:t>Europa</w:t>
            </w:r>
          </w:p>
        </w:tc>
        <w:tc>
          <w:tcPr>
            <w:tcW w:type="dxa" w:w="2880"/>
          </w:tcPr>
          <w:p>
            <w:r>
              <w:t>0.27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</w:tr>
      <w:tr>
        <w:tc>
          <w:tcPr>
            <w:tcW w:type="dxa" w:w="2880"/>
          </w:tcPr>
          <w:p>
            <w:r>
              <w:t>Japão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0.02</w:t>
            </w:r>
          </w:p>
        </w:tc>
      </w:tr>
    </w:tbl>
    <w:p/>
    <w:p>
      <w:r>
        <w:t>As avaliações têm baixa capacidade explicativa em todos os mercados; entre os mercados regionais, a maior é na Europa (R² = 0,10), seguida da América do Norte (0,09); o modelo global tem 0,11. No Japão o R² é de apenas 0,02, isto é, lá as avaliações quase não ajudam a explicar as vendas. Os MSEs são menores em mercados com vendas menores (Japão, Europa), mas isso reflete a escala das vendas, não um modelo melhor; a comparação correta é feita pelo R².</w:t>
      </w:r>
    </w:p>
    <w:p>
      <w:pPr>
        <w:pStyle w:val="Heading1"/>
      </w:pPr>
      <w:r>
        <w:t>7. Prevendo as vendas de novos jogos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Jogo</w:t>
            </w:r>
          </w:p>
        </w:tc>
        <w:tc>
          <w:tcPr>
            <w:tcW w:type="dxa" w:w="2160"/>
          </w:tcPr>
          <w:p>
            <w:r>
              <w:t>Critic_Score</w:t>
            </w:r>
          </w:p>
        </w:tc>
        <w:tc>
          <w:tcPr>
            <w:tcW w:type="dxa" w:w="2160"/>
          </w:tcPr>
          <w:p>
            <w:r>
              <w:t>User_Score</w:t>
            </w:r>
          </w:p>
        </w:tc>
        <w:tc>
          <w:tcPr>
            <w:tcW w:type="dxa" w:w="2160"/>
          </w:tcPr>
          <w:p>
            <w:r>
              <w:t>Vendas globais previstas (milhões)</w:t>
            </w:r>
          </w:p>
        </w:tc>
      </w:tr>
      <w:tr>
        <w:tc>
          <w:tcPr>
            <w:tcW w:type="dxa" w:w="2160"/>
          </w:tcPr>
          <w:p>
            <w:r>
              <w:t>Jogo A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8,5</w:t>
            </w:r>
          </w:p>
        </w:tc>
        <w:tc>
          <w:tcPr>
            <w:tcW w:type="dxa" w:w="2160"/>
          </w:tcPr>
          <w:p>
            <w:r>
              <w:t>1.40</w:t>
            </w:r>
          </w:p>
        </w:tc>
      </w:tr>
      <w:tr>
        <w:tc>
          <w:tcPr>
            <w:tcW w:type="dxa" w:w="2160"/>
          </w:tcPr>
          <w:p>
            <w:r>
              <w:t>Jogo B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7,0</w:t>
            </w:r>
          </w:p>
        </w:tc>
        <w:tc>
          <w:tcPr>
            <w:tcW w:type="dxa" w:w="2160"/>
          </w:tcPr>
          <w:p>
            <w:r>
              <w:t>0.96</w:t>
            </w:r>
          </w:p>
        </w:tc>
      </w:tr>
      <w:tr>
        <w:tc>
          <w:tcPr>
            <w:tcW w:type="dxa" w:w="2160"/>
          </w:tcPr>
          <w:p>
            <w:r>
              <w:t>Jogo C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5,5</w:t>
            </w:r>
          </w:p>
        </w:tc>
        <w:tc>
          <w:tcPr>
            <w:tcW w:type="dxa" w:w="2160"/>
          </w:tcPr>
          <w:p>
            <w:r>
              <w:t>0.33</w:t>
            </w:r>
          </w:p>
        </w:tc>
      </w:tr>
    </w:tbl>
    <w:p/>
    <w:p>
      <w:r>
        <w:t>O modelo estima 1,40, 0,96 e 0,33 milhão de unidades para os jogos A, B e C. O modelo ordena os jogos conforme as notas, mas os valores devem ser lidos com cautela, dado o R² baixo (o modelo erra bastante em jogos individuais).</w:t>
      </w:r>
    </w:p>
    <w:p>
      <w:pPr>
        <w:pStyle w:val="Heading1"/>
      </w:pPr>
      <w:r>
        <w:t>Conclusão</w:t>
      </w:r>
    </w:p>
    <w:p>
      <w:r>
        <w:t>Não é possível prever o sucesso comercial de um videogame apenas com as avaliações de críticos e usuários. A nota dos críticos tem correlação fraca com as vendas (0,24) e a dos usuários é quase nula (0,09); os modelos de regressão apresentaram R² de no máximo 0,11, isto é, explicam apenas cerca de 11% da variação das vendas, e as previsões individuais têm grande margem de erro. As vendas dependem de outros fatores, como plataforma, gênero, publisher, marketing e ano de lançamento, que deveriam ser incluídos em modelos futuros. Uma limitação adicional é que a análise usa apenas os 7017 jogos que têm as duas notas, cerca de 42% da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