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TISBridgeAgent Kafka Integration Guide</w:t>
      </w:r>
    </w:p>
    <w:p>
      <w:pPr>
        <w:spacing w:after="100"/>
      </w:pPr>
      <w:r>
        <w:rPr>
          <w:rFonts w:ascii="Consolas" w:hAnsi="Consolas"/>
          <w:sz w:val="17"/>
        </w:rPr>
        <w:t>TISBridgeAgent</w:t>
      </w:r>
      <w:r>
        <w:t xml:space="preserve"> subscribes to existing </w:t>
      </w:r>
      <w:r>
        <w:rPr>
          <w:rFonts w:ascii="Consolas" w:hAnsi="Consolas"/>
          <w:sz w:val="17"/>
        </w:rPr>
        <w:t>TISComms</w:t>
      </w:r>
      <w:r>
        <w:t xml:space="preserve"> messages for its configured location, converts supported CORBA payloads to JSON, and publishes them to Kafka. Kafka is an asynchronous notification channel; REST remains the command and state-snapshot interface.</w:t>
      </w:r>
    </w:p>
    <w:p>
      <w:pPr>
        <w:spacing w:after="100"/>
      </w:pPr>
      <w:r>
        <w:t>Browsers should not connect directly to Kafka. The recommended design is for the third-party Web backend to consume Kafka and forward relevant events to browsers through WebSocket or SSE.</w:t>
      </w:r>
    </w:p>
    <w:p>
      <w:pPr>
        <w:pStyle w:val="Heading2"/>
      </w:pPr>
      <w:r>
        <w:t>1. Topic Names</w:t>
      </w:r>
    </w:p>
    <w:p>
      <w:pPr>
        <w:spacing w:after="100"/>
      </w:pPr>
      <w:r>
        <w:t xml:space="preserve">The default </w:t>
      </w:r>
      <w:r>
        <w:rPr>
          <w:rFonts w:ascii="Consolas" w:hAnsi="Consolas"/>
          <w:sz w:val="17"/>
        </w:rPr>
        <w:t>--kafka-topic-prefix</w:t>
      </w:r>
      <w:r>
        <w:t xml:space="preserve"> is </w:t>
      </w:r>
      <w:r>
        <w:rPr>
          <w:rFonts w:ascii="Consolas" w:hAnsi="Consolas"/>
          <w:sz w:val="17"/>
        </w:rPr>
        <w:t>tis</w:t>
      </w:r>
      <w:r>
        <w:t>. Topic names use: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&lt;prefix&gt;.&lt;TISComms message name&gt;</w:t>
            </w:r>
          </w:p>
        </w:tc>
      </w:tr>
    </w:tbl>
    <w:p>
      <w:pPr>
        <w:spacing w:after="0"/>
      </w:pPr>
    </w:p>
    <w:p>
      <w:pPr>
        <w:spacing w:after="100"/>
      </w:pPr>
      <w:r>
        <w:t>The seven default topics are: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tis.TrainDisplayResult</w:t>
              <w:br/>
              <w:t>tis.TisTrainDownloadUpdate</w:t>
              <w:br/>
              <w:t>tis.TisTrainDataVersionUpdate</w:t>
              <w:br/>
              <w:t>tis.TisTrainTimeScheduleChange</w:t>
              <w:br/>
              <w:t>tis.IncomingRATISMessage</w:t>
              <w:br/>
              <w:t>tis.RATISStatusUpdate</w:t>
              <w:br/>
              <w:t>tis.RATISVetting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Each bridge subscribes only to its entity location. Use a distinct prefix per location when several instances publish to one cluster, for example </w:t>
      </w:r>
      <w:r>
        <w:rPr>
          <w:rFonts w:ascii="Consolas" w:hAnsi="Consolas"/>
          <w:sz w:val="17"/>
        </w:rPr>
        <w:t>tis.occ</w:t>
      </w:r>
      <w:r>
        <w:t xml:space="preserve"> and </w:t>
      </w:r>
      <w:r>
        <w:rPr>
          <w:rFonts w:ascii="Consolas" w:hAnsi="Consolas"/>
          <w:sz w:val="17"/>
        </w:rPr>
        <w:t>tis.dbg</w:t>
      </w:r>
      <w:r>
        <w:t xml:space="preserve">. This produces topics such as </w:t>
      </w:r>
      <w:r>
        <w:rPr>
          <w:rFonts w:ascii="Consolas" w:hAnsi="Consolas"/>
          <w:sz w:val="17"/>
        </w:rPr>
        <w:t>tis.occ.TrainDisplayResult</w:t>
      </w:r>
      <w:r>
        <w:t>.</w:t>
      </w:r>
    </w:p>
    <w:p>
      <w:pPr>
        <w:pStyle w:val="Heading2"/>
      </w:pPr>
      <w:r>
        <w:t>2. Kafka Keys</w:t>
      </w:r>
    </w:p>
    <w:p>
      <w:pPr>
        <w:spacing w:after="100"/>
      </w:pPr>
      <w:r>
        <w:t>The key is a separate Kafka record field and is not part of the topic name.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Topic suffix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Key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TrainDisplayResult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trainId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TisTrainDownloadUpdate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trainNumber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TisTrainDataVersionUpdate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trainNumber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TisTrainTimeScheduleChange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timeSchedulePkey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IncomingRATISMessage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messageId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RATISStatusUpdate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messageId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RATISVetting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Empty string</w:t>
            </w:r>
          </w:p>
        </w:tc>
      </w:tr>
    </w:tbl>
    <w:p>
      <w:pPr>
        <w:spacing w:after="0"/>
      </w:pPr>
    </w:p>
    <w:p>
      <w:pPr>
        <w:spacing w:after="100"/>
      </w:pPr>
      <w:r>
        <w:t>Records with the same key normally reach the same partition, preserving partition order for one train or RATIS message. Consumers must read the topic, key, and JSON value.</w:t>
      </w:r>
    </w:p>
    <w:p>
      <w:pPr>
        <w:pStyle w:val="Heading2"/>
      </w:pPr>
      <w:r>
        <w:t>3. TTIS Events</w:t>
      </w:r>
    </w:p>
    <w:p>
      <w:pPr>
        <w:pStyle w:val="Heading3"/>
      </w:pPr>
      <w:r>
        <w:t>tis.TrainDisplayResult</w:t>
      </w:r>
    </w:p>
    <w:p>
      <w:pPr>
        <w:spacing w:after="100"/>
      </w:pPr>
      <w:r>
        <w:t>Final train response for a predefined, free-text, or clear command: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"trainId": 1,</w:t>
              <w:br/>
              <w:t xml:space="preserve">  "timestamp": 1790820001,</w:t>
              <w:br/>
              <w:t xml:space="preserve">  "originalCommand": "TisPredefinedMessageCommand",</w:t>
              <w:br/>
              <w:t xml:space="preserve">  "success": true,</w:t>
              <w:br/>
              <w:t xml:space="preserve">  "errorDetails": ""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onsolas" w:hAnsi="Consolas"/>
          <w:sz w:val="17"/>
        </w:rPr>
        <w:t>originalCommand</w:t>
      </w:r>
      <w:r>
        <w:t xml:space="preserve"> is one of </w:t>
      </w:r>
      <w:r>
        <w:rPr>
          <w:rFonts w:ascii="Consolas" w:hAnsi="Consolas"/>
          <w:sz w:val="17"/>
        </w:rPr>
        <w:t>TisPredefinedMessageCommand</w:t>
      </w:r>
      <w:r>
        <w:t xml:space="preserve">, </w:t>
      </w:r>
      <w:r>
        <w:rPr>
          <w:rFonts w:ascii="Consolas" w:hAnsi="Consolas"/>
          <w:sz w:val="17"/>
        </w:rPr>
        <w:t>TisFreeTextMessageCommand</w:t>
      </w:r>
      <w:r>
        <w:t xml:space="preserve">, or </w:t>
      </w:r>
      <w:r>
        <w:rPr>
          <w:rFonts w:ascii="Consolas" w:hAnsi="Consolas"/>
          <w:sz w:val="17"/>
        </w:rPr>
        <w:t>TisClearCommand</w:t>
      </w:r>
      <w:r>
        <w:t xml:space="preserve">. Match the event against the REST response using </w:t>
      </w:r>
      <w:r>
        <w:rPr>
          <w:rFonts w:ascii="Consolas" w:hAnsi="Consolas"/>
          <w:sz w:val="17"/>
        </w:rPr>
        <w:t>timestamp</w:t>
      </w:r>
      <w:r>
        <w:t>, command type, and train ID. The bridge Authentication session is not included in the payload.</w:t>
      </w:r>
    </w:p>
    <w:p>
      <w:pPr>
        <w:pStyle w:val="Heading3"/>
      </w:pPr>
      <w:r>
        <w:t>tis.TisTrainDownloadUpdate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"trainNumber": 1,</w:t>
              <w:br/>
              <w:t xml:space="preserve">  "type": "LibraryDownloadFinish",</w:t>
              <w:br/>
              <w:t xml:space="preserve">  "success": true,</w:t>
              <w:br/>
              <w:t xml:space="preserve">  "errorDetails": ""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onsolas" w:hAnsi="Consolas"/>
          <w:sz w:val="17"/>
        </w:rPr>
        <w:t>type</w:t>
      </w:r>
      <w:r>
        <w:t xml:space="preserve"> is one of </w:t>
      </w:r>
      <w:r>
        <w:rPr>
          <w:rFonts w:ascii="Consolas" w:hAnsi="Consolas"/>
          <w:sz w:val="17"/>
        </w:rPr>
        <w:t>LibraryDownloadStart</w:t>
      </w:r>
      <w:r>
        <w:t xml:space="preserve">, </w:t>
      </w:r>
      <w:r>
        <w:rPr>
          <w:rFonts w:ascii="Consolas" w:hAnsi="Consolas"/>
          <w:sz w:val="17"/>
        </w:rPr>
        <w:t>LibraryDownloadFinish</w:t>
      </w:r>
      <w:r>
        <w:t xml:space="preserve">, </w:t>
      </w:r>
      <w:r>
        <w:rPr>
          <w:rFonts w:ascii="Consolas" w:hAnsi="Consolas"/>
          <w:sz w:val="17"/>
        </w:rPr>
        <w:t>LibraryUpgrade</w:t>
      </w:r>
      <w:r>
        <w:t xml:space="preserve">, </w:t>
      </w:r>
      <w:r>
        <w:rPr>
          <w:rFonts w:ascii="Consolas" w:hAnsi="Consolas"/>
          <w:sz w:val="17"/>
        </w:rPr>
        <w:t>ScheduleDownloadStart</w:t>
      </w:r>
      <w:r>
        <w:t xml:space="preserve">, </w:t>
      </w:r>
      <w:r>
        <w:rPr>
          <w:rFonts w:ascii="Consolas" w:hAnsi="Consolas"/>
          <w:sz w:val="17"/>
        </w:rPr>
        <w:t>ScheduleDownloadFinish</w:t>
      </w:r>
      <w:r>
        <w:t xml:space="preserve">, or </w:t>
      </w:r>
      <w:r>
        <w:rPr>
          <w:rFonts w:ascii="Consolas" w:hAnsi="Consolas"/>
          <w:sz w:val="17"/>
        </w:rPr>
        <w:t>ScheduleUpgrade</w:t>
      </w:r>
      <w:r>
        <w:t>.</w:t>
      </w:r>
    </w:p>
    <w:p>
      <w:pPr>
        <w:pStyle w:val="Heading3"/>
      </w:pPr>
      <w:r>
        <w:t>tis.TisTrainDataVersionUpdate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"trainNumber": 1,</w:t>
              <w:br/>
              <w:t xml:space="preserve">  "predefinedLibraryVersion": 12,</w:t>
              <w:br/>
              <w:t xml:space="preserve">  "nextPredefinedLibraryVersion": 13,</w:t>
              <w:br/>
              <w:t xml:space="preserve">  "trainTimeScheduleVersion": 8,</w:t>
              <w:br/>
              <w:t xml:space="preserve">  "nextTrainTimeScheduleVersion": 9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tis.TisTrainTimeScheduleChange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{"timeSchedulePkey":12345,"changeType":"Modified"}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onsolas" w:hAnsi="Consolas"/>
          <w:sz w:val="17"/>
        </w:rPr>
        <w:t>changeType</w:t>
      </w:r>
      <w:r>
        <w:t xml:space="preserve"> is </w:t>
      </w:r>
      <w:r>
        <w:rPr>
          <w:rFonts w:ascii="Consolas" w:hAnsi="Consolas"/>
          <w:sz w:val="17"/>
        </w:rPr>
        <w:t>Added</w:t>
      </w:r>
      <w:r>
        <w:t xml:space="preserve">, </w:t>
      </w:r>
      <w:r>
        <w:rPr>
          <w:rFonts w:ascii="Consolas" w:hAnsi="Consolas"/>
          <w:sz w:val="17"/>
        </w:rPr>
        <w:t>Deleted</w:t>
      </w:r>
      <w:r>
        <w:t xml:space="preserve">, or </w:t>
      </w:r>
      <w:r>
        <w:rPr>
          <w:rFonts w:ascii="Consolas" w:hAnsi="Consolas"/>
          <w:sz w:val="17"/>
        </w:rPr>
        <w:t>Modified</w:t>
      </w:r>
      <w:r>
        <w:t>.</w:t>
      </w:r>
    </w:p>
    <w:p>
      <w:pPr>
        <w:pStyle w:val="Heading2"/>
      </w:pPr>
      <w:r>
        <w:t>4. STIS/RATIS Events</w:t>
      </w:r>
    </w:p>
    <w:p>
      <w:pPr>
        <w:pStyle w:val="Heading3"/>
      </w:pPr>
      <w:r>
        <w:t>tis.IncomingRATISMessage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"messageId": 1801,</w:t>
              <w:br/>
              <w:t xml:space="preserve">  "sessionRef": 42,</w:t>
              <w:br/>
              <w:t xml:space="preserve">  "requiresVetting": true,</w:t>
              <w:br/>
              <w:t xml:space="preserve">  "type": "RATIS_IN_NEW"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This is a notification payload. Retrieve the full text, destination, times, and priority with </w:t>
      </w:r>
      <w:r>
        <w:rPr>
          <w:rFonts w:ascii="Consolas" w:hAnsi="Consolas"/>
          <w:sz w:val="17"/>
        </w:rPr>
        <w:t>GET /api/tis/stis/ratis/{messageId}</w:t>
      </w:r>
      <w:r>
        <w:t>.</w:t>
      </w:r>
    </w:p>
    <w:p>
      <w:pPr>
        <w:spacing w:after="100"/>
      </w:pPr>
      <w:r>
        <w:rPr>
          <w:rFonts w:ascii="Consolas" w:hAnsi="Consolas"/>
          <w:sz w:val="17"/>
        </w:rPr>
        <w:t>sessionRef</w:t>
      </w:r>
      <w:r>
        <w:t xml:space="preserve"> is a numeric RATIS Call Banner routing reference, not an Authentication </w:t>
      </w:r>
      <w:r>
        <w:rPr>
          <w:rFonts w:ascii="Consolas" w:hAnsi="Consolas"/>
          <w:sz w:val="17"/>
        </w:rPr>
        <w:t>sessionId</w:t>
      </w:r>
      <w:r>
        <w:t>.</w:t>
      </w:r>
    </w:p>
    <w:p>
      <w:pPr>
        <w:pStyle w:val="Heading3"/>
      </w:pPr>
      <w:r>
        <w:t>tis.RATISStatusUpdate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{"messageId":1801,"sessionRef":42,"status":"APPROVED"}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onsolas" w:hAnsi="Consolas"/>
          <w:sz w:val="17"/>
        </w:rPr>
        <w:t>status</w:t>
      </w:r>
      <w:r>
        <w:t xml:space="preserve"> is </w:t>
      </w:r>
      <w:r>
        <w:rPr>
          <w:rFonts w:ascii="Consolas" w:hAnsi="Consolas"/>
          <w:sz w:val="17"/>
        </w:rPr>
        <w:t>APPROVED</w:t>
      </w:r>
      <w:r>
        <w:t xml:space="preserve">, </w:t>
      </w:r>
      <w:r>
        <w:rPr>
          <w:rFonts w:ascii="Consolas" w:hAnsi="Consolas"/>
          <w:sz w:val="17"/>
        </w:rPr>
        <w:t>NOT_APPROVED</w:t>
      </w:r>
      <w:r>
        <w:t xml:space="preserve">, </w:t>
      </w:r>
      <w:r>
        <w:rPr>
          <w:rFonts w:ascii="Consolas" w:hAnsi="Consolas"/>
          <w:sz w:val="17"/>
        </w:rPr>
        <w:t>REJECTED</w:t>
      </w:r>
      <w:r>
        <w:t xml:space="preserve">, or </w:t>
      </w:r>
      <w:r>
        <w:rPr>
          <w:rFonts w:ascii="Consolas" w:hAnsi="Consolas"/>
          <w:sz w:val="17"/>
        </w:rPr>
        <w:t>APPROVE_FAILED</w:t>
      </w:r>
      <w:r>
        <w:t>.</w:t>
      </w:r>
    </w:p>
    <w:p>
      <w:pPr>
        <w:pStyle w:val="Heading3"/>
      </w:pPr>
      <w:r>
        <w:t>tis.RATISVetting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{"enabled":true}</w:t>
            </w:r>
          </w:p>
        </w:tc>
      </w:tr>
    </w:tbl>
    <w:p>
      <w:pPr>
        <w:spacing w:after="0"/>
      </w:pPr>
    </w:p>
    <w:p>
      <w:pPr>
        <w:spacing w:after="100"/>
      </w:pPr>
      <w:r>
        <w:t>This event indicates that OCC manual RATIS vetting mode changed.</w:t>
      </w:r>
    </w:p>
    <w:p>
      <w:pPr>
        <w:pStyle w:val="Heading2"/>
      </w:pPr>
      <w:r>
        <w:t>5. Snapshots and Recovery</w:t>
      </w:r>
    </w:p>
    <w:p>
      <w:pPr>
        <w:spacing w:after="100"/>
      </w:pPr>
      <w:r>
        <w:t>Kafka events describe changes and do not guarantee a complete state when a consumer starts. On startup or reconnection, fetch snapshots from:</w:t>
      </w:r>
    </w:p>
    <w:p>
      <w:pPr>
        <w:pStyle w:val="ListBullet"/>
        <w:spacing w:after="40"/>
      </w:pPr>
      <w:r>
        <w:t>/api/tis/ttis/downloads</w:t>
      </w:r>
    </w:p>
    <w:p>
      <w:pPr>
        <w:pStyle w:val="ListBullet"/>
        <w:spacing w:after="40"/>
      </w:pPr>
      <w:r>
        <w:t>/api/tis/ttis/versions</w:t>
      </w:r>
    </w:p>
    <w:p>
      <w:pPr>
        <w:pStyle w:val="ListBullet"/>
        <w:spacing w:after="40"/>
      </w:pPr>
      <w:r>
        <w:t>/api/tis/ttis/version-alarms</w:t>
      </w:r>
    </w:p>
    <w:p>
      <w:pPr>
        <w:pStyle w:val="ListBullet"/>
        <w:spacing w:after="40"/>
      </w:pPr>
      <w:r>
        <w:t>/api/tis/stis/library-versions</w:t>
      </w:r>
    </w:p>
    <w:p>
      <w:pPr>
        <w:pStyle w:val="ListBullet"/>
        <w:spacing w:after="40"/>
      </w:pPr>
      <w:r>
        <w:t>/api/tis/stis/ratis</w:t>
      </w:r>
    </w:p>
    <w:p>
      <w:pPr>
        <w:pStyle w:val="ListBullet"/>
        <w:spacing w:after="40"/>
      </w:pPr>
      <w:r>
        <w:t>/api/tis/stis/ratis-vetting</w:t>
      </w:r>
    </w:p>
    <w:p>
      <w:pPr>
        <w:spacing w:after="100"/>
      </w:pPr>
      <w:r>
        <w:t>Then continue consuming Kafka. Consumers should persist offsets and apply updates idempotently by business key.</w:t>
      </w:r>
    </w:p>
    <w:p>
      <w:pPr>
        <w:pStyle w:val="Heading2"/>
      </w:pPr>
      <w:r>
        <w:t>6. File Spool Test Mode</w:t>
      </w:r>
    </w:p>
    <w:p>
      <w:pPr>
        <w:spacing w:after="100"/>
      </w:pPr>
      <w:r>
        <w:t xml:space="preserve">When Kafka is unavailable, </w:t>
      </w:r>
      <w:r>
        <w:rPr>
          <w:rFonts w:ascii="Consolas" w:hAnsi="Consolas"/>
          <w:sz w:val="17"/>
        </w:rPr>
        <w:t>--kafka-spool-file=&lt;path&gt;</w:t>
      </w:r>
      <w:r>
        <w:t xml:space="preserve"> writes one record per line: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"topic":"tis.TrainDisplayResult",</w:t>
              <w:br/>
              <w:t xml:space="preserve">  "key":"1",</w:t>
              <w:br/>
              <w:t xml:space="preserve">  "payload":{"trainId":1,"timestamp":1790820001,"originalCommand":"TisPredefinedMessageCommand","success":true,"errorDetails":""}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This mode is intended for integration testing and does not provide Kafka partition, offset, acknowledgement, or retry semantics.</w:t>
      </w:r>
    </w:p>
    <w:p>
      <w:pPr>
        <w:pStyle w:val="Heading2"/>
      </w:pPr>
      <w:r>
        <w:t>7. Current Kafka Configuration Boundary</w:t>
      </w:r>
    </w:p>
    <w:p>
      <w:pPr>
        <w:spacing w:after="100"/>
      </w:pPr>
      <w:r>
        <w:t xml:space="preserve">As with </w:t>
      </w:r>
      <w:r>
        <w:rPr>
          <w:rFonts w:ascii="Consolas" w:hAnsi="Consolas"/>
          <w:sz w:val="17"/>
        </w:rPr>
        <w:t>PABridgeAgent</w:t>
      </w:r>
      <w:r>
        <w:t xml:space="preserve">, the current implementation directly configures only </w:t>
      </w:r>
      <w:r>
        <w:rPr>
          <w:rFonts w:ascii="Consolas" w:hAnsi="Consolas"/>
          <w:sz w:val="17"/>
        </w:rPr>
        <w:t>bootstrap.servers</w:t>
      </w:r>
      <w:r>
        <w:t>. TLS, SASL, broker and topic ACLs, retry policy, and production monitoring must be supplied by the deployment environment or added as future bridge configuration.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080" w:bottom="1152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</w:rPr>
      <w:t xml:space="preserve">TISBridgeAgent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B7280"/>
        <w:sz w:val="16"/>
      </w:rPr>
      <w:t>TISBridgeAgent Kafka Integration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40" w:lineRule="auto"/>
      <w:ind w:left="216" w:righ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