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36FA" w:rsidRDefault="000956B0">
      <w:pPr>
        <w:rPr>
          <w:lang w:val="es-ES"/>
        </w:rPr>
      </w:pPr>
      <w:r>
        <w:rPr>
          <w:lang w:val="es-ES"/>
        </w:rPr>
        <w:t xml:space="preserve">Prototipo de alta fidelidad </w:t>
      </w:r>
    </w:p>
    <w:p w:rsidR="000956B0" w:rsidRDefault="000956B0">
      <w:pPr>
        <w:rPr>
          <w:lang w:val="es-ES"/>
        </w:rPr>
      </w:pPr>
      <w:hyperlink r:id="rId4" w:history="1">
        <w:r w:rsidRPr="004407DD">
          <w:rPr>
            <w:rStyle w:val="Hipervnculo"/>
            <w:lang w:val="es-ES"/>
          </w:rPr>
          <w:t>https://www.figma.com/design/O32gxCTRrfKnAS65pfEe6T/Analisis-y-dise%C3%B1os-act-2?node-id=129-1121&amp;t=OneYF7Sx0ATmwO9W-0</w:t>
        </w:r>
      </w:hyperlink>
      <w:r>
        <w:rPr>
          <w:lang w:val="es-ES"/>
        </w:rPr>
        <w:t xml:space="preserve"> </w:t>
      </w:r>
      <w:bookmarkStart w:id="0" w:name="_GoBack"/>
      <w:bookmarkEnd w:id="0"/>
    </w:p>
    <w:p w:rsidR="000956B0" w:rsidRDefault="000956B0">
      <w:pPr>
        <w:rPr>
          <w:lang w:val="es-ES"/>
        </w:rPr>
      </w:pPr>
      <w:r>
        <w:rPr>
          <w:lang w:val="es-ES"/>
        </w:rPr>
        <w:t>Conclusiones</w:t>
      </w:r>
    </w:p>
    <w:p w:rsidR="000956B0" w:rsidRDefault="000956B0">
      <w:pPr>
        <w:rPr>
          <w:lang w:val="es-ES"/>
        </w:rPr>
      </w:pPr>
    </w:p>
    <w:p w:rsidR="000956B0" w:rsidRPr="000956B0" w:rsidRDefault="000956B0" w:rsidP="000956B0">
      <w:pPr>
        <w:rPr>
          <w:lang w:val="es-ES"/>
        </w:rPr>
      </w:pPr>
      <w:r w:rsidRPr="000956B0">
        <w:rPr>
          <w:lang w:val="es-ES"/>
        </w:rPr>
        <w:t>La fase de diseño en el laboratorio clínico sirvió para traducir los requisitos funcionales en las estructuras visuales correspondientes. La construcción de prototipos de alta fidelidad no sólo facilitó la validación temprana de las interacciones que se proponían, sino que también permitió verificar una concordancia perfecta entre las necesidades del usuario y las soluciones planteadas.</w:t>
      </w:r>
    </w:p>
    <w:p w:rsidR="000956B0" w:rsidRPr="000956B0" w:rsidRDefault="000956B0" w:rsidP="000956B0">
      <w:pPr>
        <w:rPr>
          <w:lang w:val="es-ES"/>
        </w:rPr>
      </w:pPr>
      <w:r w:rsidRPr="000956B0">
        <w:rPr>
          <w:lang w:val="es-ES"/>
        </w:rPr>
        <w:t>La construcción de las interfaces reveló la trascendencia de aplicar un enfoque centrado en el usuario para mejorar los flujos operativos del laboratorio. Este proceso ayudó a prever problemas de usabilidad, a lograr una buena concordancia en el sistema, y estableció una sólida base para un desarrollo posterior más efectivo y más intensamente centrado en la calidad.</w:t>
      </w:r>
    </w:p>
    <w:sectPr w:rsidR="000956B0" w:rsidRPr="000956B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56B0"/>
    <w:rsid w:val="000956B0"/>
    <w:rsid w:val="005536FA"/>
    <w:rsid w:val="006F4F03"/>
    <w:rsid w:val="008677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3D87C"/>
  <w15:chartTrackingRefBased/>
  <w15:docId w15:val="{3C377F92-1531-4F34-AC29-3C4129595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4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0956B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figma.com/design/O32gxCTRrfKnAS65pfEe6T/Analisis-y-dise%C3%B1os-act-2?node-id=129-1121&amp;t=OneYF7Sx0ATmwO9W-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158</Words>
  <Characters>901</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Agudelo Sanchez</dc:creator>
  <cp:keywords/>
  <dc:description/>
  <cp:lastModifiedBy>David Agudelo Sanchez</cp:lastModifiedBy>
  <cp:revision>1</cp:revision>
  <dcterms:created xsi:type="dcterms:W3CDTF">2025-11-16T23:06:00Z</dcterms:created>
  <dcterms:modified xsi:type="dcterms:W3CDTF">2025-11-16T23:07:00Z</dcterms:modified>
</cp:coreProperties>
</file>