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Análise Comparativa de Latências</w:t>
      </w:r>
    </w:p>
    <w:p>
      <w:pPr>
        <w:pStyle w:val="Heading2"/>
      </w:pPr>
      <w:r>
        <w:t>Gráficos Comparativos</w:t>
      </w:r>
    </w:p>
    <w:p>
      <w:pPr>
        <w:pStyle w:val="Heading3"/>
      </w:pPr>
      <w:r>
        <w:t>Histograma Comparativo das Latências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ograma_comparativ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 histograma comparativo mostra a distribuição das latências das três chaves escolhidas.</w:t>
      </w:r>
    </w:p>
    <w:p>
      <w:pPr>
        <w:pStyle w:val="Heading3"/>
      </w:pPr>
      <w:r>
        <w:t>Boxplot Comparativo das Latências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plot_comparativ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 boxplot comparativo fornece uma visão geral das distribuições das latências das três chaves, destacando medianas, quartis e outliers.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