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Technical Documentation Summary (EU AI Act, Annex IV structure)</w:t>
      </w:r>
    </w:p>
    <w:p>
      <w:pPr>
        <w:spacing w:after="100"/>
      </w:pPr>
      <w:r>
        <w:rPr>
          <w:b/>
          <w:bCs/>
        </w:rPr>
        <w:t xml:space="preserve">Provider:</w:t>
      </w:r>
      <w:r>
        <w:t xml:space="preserve"> Cobalt Grid  </w:t>
      </w:r>
      <w:r>
        <w:rPr>
          <w:b/>
          <w:bCs/>
        </w:rPr>
        <w:t xml:space="preserve">Subject:</w:t>
      </w:r>
      <w:r>
        <w:t xml:space="preserve"> Positional-encoding ablation for the 24-hour-ahead feeder-load forecaster</w:t>
      </w:r>
    </w:p>
    <w:p>
      <w:pPr>
        <w:spacing w:after="100"/>
      </w:pPr>
      <w:r>
        <w:rPr>
          <w:b/>
          <w:bCs/>
        </w:rPr>
        <w:t xml:space="preserve">Prepared for:</w:t>
      </w:r>
      <w:r>
        <w:t xml:space="preserve"> Dr. Ingrid Solberg (Head of Research), Marcus Adeyemi (Compliance)  </w:t>
      </w:r>
      <w:r>
        <w:rPr>
          <w:b/>
          <w:bCs/>
        </w:rPr>
        <w:t xml:space="preserve">Date:</w:t>
      </w:r>
      <w:r>
        <w:t xml:space="preserve"> 2026-10-24</w:t>
      </w:r>
    </w:p>
    <w:p>
      <w:pPr>
        <w:spacing w:after="100"/>
      </w:pPr>
      <w:r>
        <w:rPr>
          <w:b/>
          <w:bCs/>
        </w:rPr>
        <w:t xml:space="preserve">Document status:</w:t>
      </w:r>
      <w:r>
        <w:t xml:space="preserve"> DRAFT summary of a </w:t>
      </w:r>
      <w:r>
        <w:rPr>
          <w:i/>
          <w:iCs/>
        </w:rPr>
        <w:t xml:space="preserve">research study</w:t>
      </w:r>
      <w:r>
        <w:t xml:space="preserve">, not a conformity file for a released product. Items marked </w:t>
      </w:r>
      <w:r>
        <w:rPr>
          <w:b/>
          <w:bCs/>
        </w:rPr>
        <w:t xml:space="preserve">[OPEN]</w:t>
      </w:r>
      <w:r>
        <w:t xml:space="preserve"> need a decision or evidence that does not exist yet.</w:t>
      </w:r>
    </w:p>
    <w:p>
      <w:pPr>
        <w:pBdr>
          <w:left w:val="single" w:color="7A8CA5" w:sz="18" w:space="8"/>
        </w:pBdr>
        <w:shd w:fill="F1F4F8" w:val="clear"/>
        <w:spacing w:after="120" w:before="80"/>
        <w:ind w:left="200"/>
      </w:pPr>
      <w:r>
        <w:rPr>
          <w:b/>
          <w:bCs/>
        </w:rPr>
        <w:t xml:space="preserve">How to read this.</w:t>
      </w:r>
      <w:r>
        <w:t xml:space="preserve"> Annex IV of Regulation (EU) 2024/1689 lists what the technical documentation of a </w:t>
      </w:r>
      <w:r>
        <w:rPr>
          <w:i/>
          <w:iCs/>
        </w:rPr>
        <w:t xml:space="preserve">high-risk</w:t>
      </w:r>
      <w:r>
        <w:t xml:space="preserve"> AI system must contain (general description; detailed description of elements and development process; monitoring, functioning and control; appropriateness of performance metrics; risk management; lifecycle changes; applied standards; declaration of conformity; post-market monitoring plan). This summary follows that order for the parts the study can evidence, and states plainly where it cannot. It is a summary; the full file would sit on top of it.</w:t>
      </w:r>
    </w:p>
    <w:p>
      <w:pPr>
        <w:pStyle w:val="Heading1"/>
        <w:keepNext/>
      </w:pPr>
      <w:r>
        <w:t xml:space="preserve">0. Risk classification (an open question, not a conclusion)</w:t>
      </w:r>
    </w:p>
    <w:p>
      <w:pPr>
        <w:spacing w:after="100"/>
      </w:pPr>
      <w:r>
        <w:t xml:space="preserve">Annex III(2) lists AI systems intended as </w:t>
      </w:r>
      <w:r>
        <w:rPr>
          <w:b/>
          <w:bCs/>
        </w:rPr>
        <w:t xml:space="preserve">safety components in the management and operation of critical digital infrastructure … or in the supply of … electricity</w:t>
      </w:r>
      <w:r>
        <w:t xml:space="preserve">. Whether a demand forecaster counts depends on whether its output is a safety component of grid operation, or only advises planning/procurement. Co-ops that feed forecasts into automated dispatch or protection are in a different position from those using them for day-ahead purchasing. </w:t>
      </w:r>
      <w:r>
        <w:rPr>
          <w:b/>
          <w:bCs/>
        </w:rPr>
        <w:t xml:space="preserve">[OPEN] Marcus to decide classification per deployment mode; this summary is written to the stricter (high-risk) reading so nothing needs to be redone if that is the outcome.</w:t>
      </w:r>
      <w:r>
        <w:t xml:space="preserve"> The model studied here is a prototype; it is not placed on the market or put into service by this study.</w:t>
      </w:r>
    </w:p>
    <w:p>
      <w:pPr>
        <w:pStyle w:val="Heading1"/>
        <w:keepNext/>
      </w:pPr>
      <w:r>
        <w:t xml:space="preserve">1. General description of the system (Annex IV §1)</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110"/>
        <w:gridCol w:w="7114"/>
      </w:tblGrid>
      <w:tr>
        <w:trPr>
          <w:cantSplit/>
          <w:tblHeader/>
        </w:trPr>
        <w:tc>
          <w:tcPr>
            <w:tcW w:type="dxa" w:w="3110"/>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Item</w:t>
            </w:r>
          </w:p>
        </w:tc>
        <w:tc>
          <w:tcPr>
            <w:tcW w:type="dxa" w:w="7114"/>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Content</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Intended purpose</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Forecast aggregate hourly electricity demand (kW) for a rural co-op feeder for the next 24 h, from the preceding 168 h of load and temperature, to support planning and procurement by utility staff.</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Not intended for</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Automatic switching, protection, or load-shedding with no human in the loop; individual-customer prediction; billing.</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Users / deployers</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Co-op operations and energy-procurement staff (EU and US).</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System under study</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 2-layer, 4-head, width-64 Transformer encoder (68,824 parameters; 79,576 with learned encodings) with a last-token linear readout.</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Variant tested</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Four positional-encoding arms: none, sinusoidal, learned, rotary (RoPE).</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Hardware/software</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PyTorch, run in two environments: local CPU (torch 2.14.1, Python 3.14.7, Intel Core i9-13900HX in a virtual machine) and a free Colab Tesla T4 (torch 2.11.0+cu130, Python 3.13). Exact versions and hardware are in </w:t>
            </w:r>
            <w:r>
              <w:rPr>
                <w:rFonts w:ascii="Consolas" w:cs="Consolas" w:eastAsia="Consolas" w:hAnsi="Consolas"/>
                <w:sz w:val="15"/>
                <w:szCs w:val="15"/>
              </w:rPr>
              <w:t xml:space="preserve">results/manifest_cpu.json</w:t>
            </w:r>
            <w:r>
              <w:rPr>
                <w:sz w:val="16"/>
                <w:szCs w:val="16"/>
              </w:rPr>
              <w:t xml:space="preserve"> and </w:t>
            </w:r>
            <w:r>
              <w:rPr>
                <w:rFonts w:ascii="Consolas" w:cs="Consolas" w:eastAsia="Consolas" w:hAnsi="Consolas"/>
                <w:sz w:val="15"/>
                <w:szCs w:val="15"/>
              </w:rPr>
              <w:t xml:space="preserve">results/manifest_t4gpu.json</w:t>
            </w:r>
            <w:r>
              <w:rPr>
                <w:sz w:val="16"/>
                <w:szCs w:val="16"/>
              </w:rPr>
              <w:t xml:space="preserve">; </w:t>
            </w:r>
            <w:r>
              <w:rPr>
                <w:rFonts w:ascii="Consolas" w:cs="Consolas" w:eastAsia="Consolas" w:hAnsi="Consolas"/>
                <w:sz w:val="15"/>
                <w:szCs w:val="15"/>
              </w:rPr>
              <w:t xml:space="preserve">requirements.txt</w:t>
            </w:r>
            <w:r>
              <w:rPr>
                <w:sz w:val="16"/>
                <w:szCs w:val="16"/>
              </w:rPr>
              <w:t xml:space="preserve"> records the CPU set.</w:t>
            </w:r>
          </w:p>
        </w:tc>
      </w:tr>
      <w:tr>
        <w:trPr>
          <w:cantSplit/>
        </w:trPr>
        <w:tc>
          <w:tcPr>
            <w:tcW w:type="dxa" w:w="3110"/>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Instructions for use</w:t>
            </w:r>
          </w:p>
        </w:tc>
        <w:tc>
          <w:tcPr>
            <w:tcW w:type="dxa" w:w="711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rFonts w:ascii="Consolas" w:cs="Consolas" w:eastAsia="Consolas" w:hAnsi="Consolas"/>
                <w:sz w:val="15"/>
                <w:szCs w:val="15"/>
              </w:rPr>
              <w:t xml:space="preserve">README.md</w:t>
            </w:r>
            <w:r>
              <w:rPr>
                <w:sz w:val="16"/>
                <w:szCs w:val="16"/>
              </w:rPr>
              <w:t xml:space="preserve"> and </w:t>
            </w:r>
            <w:r>
              <w:rPr>
                <w:rFonts w:ascii="Consolas" w:cs="Consolas" w:eastAsia="Consolas" w:hAnsi="Consolas"/>
                <w:sz w:val="15"/>
                <w:szCs w:val="15"/>
              </w:rPr>
              <w:t xml:space="preserve">COLAB.md</w:t>
            </w:r>
            <w:r>
              <w:rPr>
                <w:sz w:val="16"/>
                <w:szCs w:val="16"/>
              </w:rPr>
              <w:t xml:space="preserve"> in the repository.</w:t>
            </w:r>
          </w:p>
        </w:tc>
      </w:tr>
    </w:tbl>
    <w:p>
      <w:pPr>
        <w:spacing w:after="80"/>
      </w:pPr>
    </w:p>
    <w:p>
      <w:pPr>
        <w:pStyle w:val="Heading1"/>
        <w:keepNext/>
      </w:pPr>
      <w:r>
        <w:t xml:space="preserve">2. Detailed description and development process (Annex IV §2)</w:t>
      </w:r>
    </w:p>
    <w:p>
      <w:pPr>
        <w:pStyle w:val="Heading2"/>
        <w:keepNext/>
      </w:pPr>
      <w:r>
        <w:t xml:space="preserve">2.1 Data provenance and governance (cf. AI Act Art. 10)</w:t>
      </w:r>
    </w:p>
    <w:p>
      <w:pPr>
        <w:pStyle w:val="ListParagraph"/>
        <w:numPr>
          <w:ilvl w:val="0"/>
          <w:numId w:val="2"/>
        </w:numPr>
        <w:spacing w:after="60"/>
      </w:pPr>
      <w:r>
        <w:rPr>
          <w:b/>
          <w:bCs/>
        </w:rPr>
        <w:t xml:space="preserve">Source:</w:t>
      </w:r>
      <w:r>
        <w:t xml:space="preserve"> 100% synthetic, generated by Step 3 of </w:t>
      </w:r>
      <w:r>
        <w:rPr>
          <w:rFonts w:ascii="Consolas" w:cs="Consolas" w:eastAsia="Consolas" w:hAnsi="Consolas"/>
          <w:sz w:val="19"/>
          <w:szCs w:val="19"/>
        </w:rPr>
        <w:t xml:space="preserve">scripts/Assignment_07_PE_Ablation.py</w:t>
      </w:r>
      <w:r>
        <w:t xml:space="preserve"> from fixed seed 1234; no download, no personal data, no real co-op data. 8 feeders × 540 days × hourly (103,680 rows), SHA-256 </w:t>
      </w:r>
      <w:r>
        <w:rPr>
          <w:rFonts w:ascii="Consolas" w:cs="Consolas" w:eastAsia="Consolas" w:hAnsi="Consolas"/>
          <w:sz w:val="19"/>
          <w:szCs w:val="19"/>
        </w:rPr>
        <w:t xml:space="preserve">2542d60bc3f531a7a6ef4487616fc51681723c60ec259bca0a778508c0ac6cd2</w:t>
      </w:r>
      <w:r>
        <w:t xml:space="preserve"> (also in </w:t>
      </w:r>
      <w:r>
        <w:rPr>
          <w:rFonts w:ascii="Consolas" w:cs="Consolas" w:eastAsia="Consolas" w:hAnsi="Consolas"/>
          <w:sz w:val="19"/>
          <w:szCs w:val="19"/>
        </w:rPr>
        <w:t xml:space="preserve">results/manifest_cpu.json</w:t>
      </w:r>
      <w:r>
        <w:t xml:space="preserve">); builds on both machines (numpy 2.5 / pandas 3.1 locally, numpy 2.1 / pandas 2.2 on Colab) produced the same hash.</w:t>
      </w:r>
    </w:p>
    <w:p>
      <w:pPr>
        <w:pStyle w:val="ListParagraph"/>
        <w:numPr>
          <w:ilvl w:val="0"/>
          <w:numId w:val="2"/>
        </w:numPr>
        <w:spacing w:after="60"/>
      </w:pPr>
      <w:r>
        <w:rPr>
          <w:b/>
          <w:bCs/>
        </w:rPr>
        <w:t xml:space="preserve">Generative assumptions:</w:t>
      </w:r>
      <w:r>
        <w:t xml:space="preserve"> daily residential/commercial load shapes, weekday/weekend and holiday factors, temperature response around 15 °C, summer-night irrigation, multiplicative noise (4%), rare outage events left in the data. These are </w:t>
      </w:r>
      <w:r>
        <w:rPr>
          <w:i/>
          <w:iCs/>
        </w:rPr>
        <w:t xml:space="preserve">our assumptions</w:t>
      </w:r>
      <w:r>
        <w:t xml:space="preserve">, not measured behaviour.</w:t>
      </w:r>
    </w:p>
    <w:p>
      <w:pPr>
        <w:pStyle w:val="ListParagraph"/>
        <w:numPr>
          <w:ilvl w:val="0"/>
          <w:numId w:val="2"/>
        </w:numPr>
        <w:spacing w:after="60"/>
      </w:pPr>
      <w:r>
        <w:rPr>
          <w:b/>
          <w:bCs/>
        </w:rPr>
        <w:t xml:space="preserve">Split:</w:t>
      </w:r>
      <w:r>
        <w:t xml:space="preserve"> chronological per feeder (70% train / 15% validation / 15% test); normalisation fitted on the train segment only; no window crosses a split boundary (leakage control). Test set: 592 windows.</w:t>
      </w:r>
    </w:p>
    <w:p>
      <w:pPr>
        <w:pStyle w:val="ListParagraph"/>
        <w:numPr>
          <w:ilvl w:val="0"/>
          <w:numId w:val="2"/>
        </w:numPr>
        <w:spacing w:after="60"/>
      </w:pPr>
      <w:r>
        <w:rPr>
          <w:b/>
          <w:bCs/>
        </w:rPr>
        <w:t xml:space="preserve">Bias/representativeness:</w:t>
      </w:r>
      <w:r>
        <w:t xml:space="preserve"> none of the following is represented: metering gaps, behind-the-meter solar, electric-vehicle charging, extreme weather, COVID-type regime change, US/EU regional differences. Bias examination as Art. 10(2)(f)–(g) intends cannot be meaningfully done on synthetic data and is </w:t>
      </w:r>
      <w:r>
        <w:rPr>
          <w:b/>
          <w:bCs/>
        </w:rPr>
        <w:t xml:space="preserve">[OPEN]</w:t>
      </w:r>
      <w:r>
        <w:t xml:space="preserve"> for the real-data stage.</w:t>
      </w:r>
    </w:p>
    <w:p>
      <w:pPr>
        <w:pStyle w:val="Heading2"/>
        <w:keepNext/>
      </w:pPr>
      <w:r>
        <w:t xml:space="preserve">2.2 Design specifications and training methodology</w:t>
      </w:r>
    </w:p>
    <w:p>
      <w:pPr>
        <w:pStyle w:val="ListParagraph"/>
        <w:numPr>
          <w:ilvl w:val="0"/>
          <w:numId w:val="2"/>
        </w:numPr>
        <w:spacing w:after="60"/>
      </w:pPr>
      <w:r>
        <w:t xml:space="preserve">Input: 168 hourly steps × 2 features (normalised load, temperature). Output: next 24 h of normalised load, reported in kW.</w:t>
      </w:r>
    </w:p>
    <w:p>
      <w:pPr>
        <w:pStyle w:val="ListParagraph"/>
        <w:numPr>
          <w:ilvl w:val="0"/>
          <w:numId w:val="2"/>
        </w:numPr>
        <w:spacing w:after="60"/>
      </w:pPr>
      <w:r>
        <w:t xml:space="preserve">Training: AdamW (lr 1e-3, weight decay 0.01), one-cycle schedule, 10 epochs, batch 128, L1 loss, gradient clipping 1.0; best-validation-epoch checkpoint (same rule in every arm).</w:t>
      </w:r>
    </w:p>
    <w:p>
      <w:pPr>
        <w:pStyle w:val="ListParagraph"/>
        <w:numPr>
          <w:ilvl w:val="0"/>
          <w:numId w:val="2"/>
        </w:numPr>
        <w:spacing w:after="60"/>
      </w:pPr>
      <w:r>
        <w:rPr>
          <w:b/>
          <w:bCs/>
        </w:rPr>
        <w:t xml:space="preserve">Ablation design:</w:t>
      </w:r>
      <w:r>
        <w:t xml:space="preserve"> exactly one factor (</w:t>
      </w:r>
      <w:r>
        <w:rPr>
          <w:rFonts w:ascii="Consolas" w:cs="Consolas" w:eastAsia="Consolas" w:hAnsi="Consolas"/>
          <w:sz w:val="19"/>
          <w:szCs w:val="19"/>
        </w:rPr>
        <w:t xml:space="preserve">pos_enc</w:t>
      </w:r>
      <w:r>
        <w:t xml:space="preserve">) varies. Everything else (data, split, architecture size, optimiser, schedule, epochs, attention code, checkpoint rule, batch order per seed) is held fixed. Five seeds (0–4) per arm, 20 runs; seeds are the outer loop and the arm order inside each seed is shuffled so machine drift does not fall on one arm. Declared residual confounds: the learned arm has 10,752 extra parameters; seed-matching does not give identical initial weights across arms; hyperparameters were not retuned per arm.</w:t>
      </w:r>
    </w:p>
    <w:p>
      <w:pPr>
        <w:pStyle w:val="ListParagraph"/>
        <w:numPr>
          <w:ilvl w:val="0"/>
          <w:numId w:val="2"/>
        </w:numPr>
        <w:spacing w:after="60"/>
      </w:pPr>
      <w:r>
        <w:t xml:space="preserve">Run order, configs, seeds and code: see repository; reproducible end to end by </w:t>
      </w:r>
      <w:r>
        <w:rPr>
          <w:rFonts w:ascii="Consolas" w:cs="Consolas" w:eastAsia="Consolas" w:hAnsi="Consolas"/>
          <w:sz w:val="19"/>
          <w:szCs w:val="19"/>
        </w:rPr>
        <w:t xml:space="preserve">python scripts/Assignment_07_PE_Ablation.py</w:t>
      </w:r>
      <w:r>
        <w:t xml:space="preserve"> (all budgets in </w:t>
      </w:r>
      <w:r>
        <w:rPr>
          <w:rFonts w:ascii="Consolas" w:cs="Consolas" w:eastAsia="Consolas" w:hAnsi="Consolas"/>
          <w:sz w:val="19"/>
          <w:szCs w:val="19"/>
        </w:rPr>
        <w:t xml:space="preserve">configs/ablation.yaml</w:t>
      </w:r>
      <w:r>
        <w:t xml:space="preserve">). The full study was run three times: locally under torch 2.14.0 and then 2.14.1 with a different run order (every test MAE identical to three decimals), and on a Colab T4 under a different torch, numpy, pandas and Python version. Per (arm, seed), the T4 and CPU test MAEs of the three working arms differ by at most 0.17 kW; the </w:t>
      </w:r>
      <w:r>
        <w:rPr>
          <w:rFonts w:ascii="Consolas" w:cs="Consolas" w:eastAsia="Consolas" w:hAnsi="Consolas"/>
          <w:sz w:val="19"/>
          <w:szCs w:val="19"/>
        </w:rPr>
        <w:t xml:space="preserve">none</w:t>
      </w:r>
      <w:r>
        <w:t xml:space="preserve"> arm, which does not learn well, differs by up to 1.06 kW. Both hardware stacks give the same verdict.</w:t>
      </w:r>
    </w:p>
    <w:p>
      <w:pPr>
        <w:pStyle w:val="Heading2"/>
        <w:keepNext/>
      </w:pPr>
      <w:r>
        <w:t xml:space="preserve">2.3 Validation and testing procedures</w:t>
      </w:r>
    </w:p>
    <w:p>
      <w:pPr>
        <w:spacing w:after="100"/>
      </w:pPr>
      <w:r>
        <w:t xml:space="preserve">Each (arm, seed) is trained once, evaluated once on the untouched test segment. Significance: Welch two-sample test (primary, no pairing assumption), Holm-corrected over three comparisons against the sinusoidal reference; paired test shown as secondary. Cost is logged on both machines: wall-clock training time per run; inference latency from a separate pass of 5 interleaved rounds (arm order shuffled each round; p50 and p95 per window); memory.</w:t>
      </w:r>
    </w:p>
    <w:p>
      <w:pPr>
        <w:pStyle w:val="Heading2"/>
        <w:keepNext/>
      </w:pPr>
      <w:r>
        <w:t xml:space="preserve">2.4 Human oversight, cybersecurity, pre-determined changes (cf. Art. 14, 15)</w:t>
      </w:r>
    </w:p>
    <w:p>
      <w:pPr>
        <w:spacing w:after="100"/>
      </w:pPr>
      <w:r>
        <w:t xml:space="preserve">Not applicable to the study as run; for deployment: forecasts are advisory and displayed with a recent-error band to a human planner; model files are versioned with their data hash and config; any change of positional encoding, retraining cadence or input features is a </w:t>
      </w:r>
      <w:r>
        <w:rPr>
          <w:i/>
          <w:iCs/>
        </w:rPr>
        <w:t xml:space="preserve">change to be assessed</w:t>
      </w:r>
      <w:r>
        <w:t xml:space="preserve"> before release. </w:t>
      </w:r>
      <w:r>
        <w:rPr>
          <w:b/>
          <w:bCs/>
        </w:rPr>
        <w:t xml:space="preserve">[OPEN]</w:t>
      </w:r>
      <w:r>
        <w:t xml:space="preserve"> access control, adversarial-input and data-poisoning assessments (sensor spoofing) have not been done.</w:t>
      </w:r>
    </w:p>
    <w:p>
      <w:pPr>
        <w:pStyle w:val="Heading1"/>
        <w:keepNext/>
      </w:pPr>
      <w:r>
        <w:t xml:space="preserve">3. Monitoring, functioning, control; capabilities and limitations (Annex IV §3)</w:t>
      </w:r>
    </w:p>
    <w:p>
      <w:pPr>
        <w:pStyle w:val="Heading2"/>
        <w:keepNext/>
      </w:pPr>
      <w:r>
        <w:t xml:space="preserve">3.1 Results (test MAE in kW; 5 seeds per arm; full tables in </w:t>
      </w:r>
      <w:r>
        <w:rPr>
          <w:rFonts w:ascii="Consolas" w:cs="Consolas" w:eastAsia="Consolas" w:hAnsi="Consolas"/>
          <w:sz w:val="19"/>
          <w:szCs w:val="19"/>
        </w:rPr>
        <w:t xml:space="preserve">results/</w:t>
      </w:r>
      <w:r>
        <w:t xml:space="preser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533"/>
        <w:gridCol w:w="1908"/>
        <w:gridCol w:w="1688"/>
        <w:gridCol w:w="1898"/>
        <w:gridCol w:w="1676"/>
        <w:gridCol w:w="1521"/>
      </w:tblGrid>
      <w:tr>
        <w:trPr>
          <w:cantSplit/>
          <w:tblHeader/>
        </w:trPr>
        <w:tc>
          <w:tcPr>
            <w:tcW w:type="dxa" w:w="1533"/>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Arm</w:t>
            </w:r>
          </w:p>
        </w:tc>
        <w:tc>
          <w:tcPr>
            <w:tcW w:type="dxa" w:w="1908"/>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CPU mean MAE (seed SD)</w:t>
            </w:r>
          </w:p>
        </w:tc>
        <w:tc>
          <w:tcPr>
            <w:tcW w:type="dxa" w:w="1688"/>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CPU range</w:t>
            </w:r>
          </w:p>
        </w:tc>
        <w:tc>
          <w:tcPr>
            <w:tcW w:type="dxa" w:w="1898"/>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T4 mean MAE (seed SD)</w:t>
            </w:r>
          </w:p>
        </w:tc>
        <w:tc>
          <w:tcPr>
            <w:tcW w:type="dxa" w:w="1676"/>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T4 range</w:t>
            </w:r>
          </w:p>
        </w:tc>
        <w:tc>
          <w:tcPr>
            <w:tcW w:type="dxa" w:w="1521"/>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Parameters</w:t>
            </w:r>
          </w:p>
        </w:tc>
      </w:tr>
      <w:tr>
        <w:trPr>
          <w:cantSplit/>
        </w:trPr>
        <w:tc>
          <w:tcPr>
            <w:tcW w:type="dxa" w:w="15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none</w:t>
            </w:r>
          </w:p>
        </w:tc>
        <w:tc>
          <w:tcPr>
            <w:tcW w:type="dxa" w:w="190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21.39 (0.81)</w:t>
            </w:r>
          </w:p>
        </w:tc>
        <w:tc>
          <w:tcPr>
            <w:tcW w:type="dxa" w:w="168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20.19–22.29</w:t>
            </w:r>
          </w:p>
        </w:tc>
        <w:tc>
          <w:tcPr>
            <w:tcW w:type="dxa" w:w="189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21.06 (0.80)</w:t>
            </w:r>
          </w:p>
        </w:tc>
        <w:tc>
          <w:tcPr>
            <w:tcW w:type="dxa" w:w="167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20.17–22.26</w:t>
            </w:r>
          </w:p>
        </w:tc>
        <w:tc>
          <w:tcPr>
            <w:tcW w:type="dxa" w:w="1521"/>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68,824</w:t>
            </w:r>
          </w:p>
        </w:tc>
      </w:tr>
      <w:tr>
        <w:trPr>
          <w:cantSplit/>
        </w:trPr>
        <w:tc>
          <w:tcPr>
            <w:tcW w:type="dxa" w:w="15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sinusoidal (ref.)</w:t>
            </w:r>
          </w:p>
        </w:tc>
        <w:tc>
          <w:tcPr>
            <w:tcW w:type="dxa" w:w="190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8.43 (0.13)</w:t>
            </w:r>
          </w:p>
        </w:tc>
        <w:tc>
          <w:tcPr>
            <w:tcW w:type="dxa" w:w="168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8.29–8.57</w:t>
            </w:r>
          </w:p>
        </w:tc>
        <w:tc>
          <w:tcPr>
            <w:tcW w:type="dxa" w:w="189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8.45 (0.13)</w:t>
            </w:r>
          </w:p>
        </w:tc>
        <w:tc>
          <w:tcPr>
            <w:tcW w:type="dxa" w:w="167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8.23–8.57</w:t>
            </w:r>
          </w:p>
        </w:tc>
        <w:tc>
          <w:tcPr>
            <w:tcW w:type="dxa" w:w="1521"/>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68,824</w:t>
            </w:r>
          </w:p>
        </w:tc>
      </w:tr>
      <w:tr>
        <w:trPr>
          <w:cantSplit/>
        </w:trPr>
        <w:tc>
          <w:tcPr>
            <w:tcW w:type="dxa" w:w="15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learned</w:t>
            </w:r>
          </w:p>
        </w:tc>
        <w:tc>
          <w:tcPr>
            <w:tcW w:type="dxa" w:w="190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8.58 (0.18)</w:t>
            </w:r>
          </w:p>
        </w:tc>
        <w:tc>
          <w:tcPr>
            <w:tcW w:type="dxa" w:w="168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8.46–8.90</w:t>
            </w:r>
          </w:p>
        </w:tc>
        <w:tc>
          <w:tcPr>
            <w:tcW w:type="dxa" w:w="189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8.54 (0.13)</w:t>
            </w:r>
          </w:p>
        </w:tc>
        <w:tc>
          <w:tcPr>
            <w:tcW w:type="dxa" w:w="167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8.41–8.73</w:t>
            </w:r>
          </w:p>
        </w:tc>
        <w:tc>
          <w:tcPr>
            <w:tcW w:type="dxa" w:w="1521"/>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79,576</w:t>
            </w:r>
          </w:p>
        </w:tc>
      </w:tr>
      <w:tr>
        <w:trPr>
          <w:cantSplit/>
        </w:trPr>
        <w:tc>
          <w:tcPr>
            <w:tcW w:type="dxa" w:w="15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rope</w:t>
            </w:r>
          </w:p>
        </w:tc>
        <w:tc>
          <w:tcPr>
            <w:tcW w:type="dxa" w:w="190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8.43 (0.10)</w:t>
            </w:r>
          </w:p>
        </w:tc>
        <w:tc>
          <w:tcPr>
            <w:tcW w:type="dxa" w:w="168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8.32–8.59</w:t>
            </w:r>
          </w:p>
        </w:tc>
        <w:tc>
          <w:tcPr>
            <w:tcW w:type="dxa" w:w="1898"/>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8.47 (0.11)</w:t>
            </w:r>
          </w:p>
        </w:tc>
        <w:tc>
          <w:tcPr>
            <w:tcW w:type="dxa" w:w="167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8.34–8.63</w:t>
            </w:r>
          </w:p>
        </w:tc>
        <w:tc>
          <w:tcPr>
            <w:tcW w:type="dxa" w:w="1521"/>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68,824</w:t>
            </w:r>
          </w:p>
        </w:tc>
      </w:tr>
    </w:tbl>
    <w:p>
      <w:pPr>
        <w:spacing w:after="80"/>
      </w:pPr>
    </w:p>
    <w:p>
      <w:pPr>
        <w:spacing w:after="100"/>
      </w:pPr>
      <w:r>
        <w:t xml:space="preserve">Reference with no learning: "same hours yesterday" 12.37 kW; "same hours last week" 11.84 kW.</w:t>
      </w:r>
    </w:p>
    <w:p>
      <w:pPr>
        <w:spacing w:after="100"/>
      </w:pPr>
      <w:r>
        <w:rPr>
          <w:b/>
          <w:bCs/>
        </w:rPr>
        <w:t xml:space="preserve">What the data support</w:t>
      </w:r>
    </w:p>
    <w:p>
      <w:pPr>
        <w:pStyle w:val="ListParagraph"/>
        <w:numPr>
          <w:ilvl w:val="0"/>
          <w:numId w:val="3"/>
        </w:numPr>
        <w:spacing w:after="60"/>
      </w:pPr>
      <w:r>
        <w:rPr>
          <w:b/>
          <w:bCs/>
        </w:rPr>
        <w:t xml:space="preserve">Some positional information is needed.</w:t>
      </w:r>
      <w:r>
        <w:t xml:space="preserve"> Without it the model is much worse than sinusoidal (CPU +12.96 kW, T4 +12.61 kW; about 22× the seed SD on both; Holm-adjusted p ≈ 7e-6) and worse than the naive yesterday-repeat. This is far outside run-to-run noise and holds on both machines.</w:t>
      </w:r>
    </w:p>
    <w:p>
      <w:pPr>
        <w:pStyle w:val="ListParagraph"/>
        <w:numPr>
          <w:ilvl w:val="0"/>
          <w:numId w:val="3"/>
        </w:numPr>
        <w:spacing w:after="60"/>
      </w:pPr>
      <w:r>
        <w:rPr>
          <w:b/>
          <w:bCs/>
        </w:rPr>
        <w:t xml:space="preserve">Among the three positional encodings, no difference was shown.</w:t>
      </w:r>
      <w:r>
        <w:t xml:space="preserve"> Learned vs sinusoidal: CPU +0.15 kW (Welch 95% CI [−0.08, +0.39], Holm-adjusted p = 0.34); T4 +0.09 kW (CI [−0.10, +0.29], p = 0.60). RoPE vs sinusoidal: CPU +0.001 kW (CI [−0.17, +0.17], p = 0.99); T4 +0.02 kW (CI [−0.16, +0.21], p = 0.77). These differences are within run-to-run noise on both machines. The two machines are one replication of the same experiment, not an extra 5 seeds: they share the dataset and the seeds.</w:t>
      </w:r>
    </w:p>
    <w:p>
      <w:pPr>
        <w:pStyle w:val="ListParagraph"/>
        <w:numPr>
          <w:ilvl w:val="0"/>
          <w:numId w:val="3"/>
        </w:numPr>
        <w:spacing w:after="60"/>
      </w:pPr>
      <w:r>
        <w:t xml:space="preserve">The "no difference" result is </w:t>
      </w:r>
      <w:r>
        <w:rPr>
          <w:b/>
          <w:bCs/>
        </w:rPr>
        <w:t xml:space="preserve">not</w:t>
      </w:r>
      <w:r>
        <w:t xml:space="preserve"> evidence of equivalence: with five seeds, true differences of roughly 0.2–0.4 kW (≈2–5%) could be missed (the confidence intervals above reach that far). No equivalence margin was pre-registered.</w:t>
      </w:r>
    </w:p>
    <w:p>
      <w:pPr>
        <w:pStyle w:val="Heading2"/>
        <w:keepNext/>
      </w:pPr>
      <w:r>
        <w:t xml:space="preserve">3.2 Cost (latency, training time, memory)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85"/>
        <w:gridCol w:w="1474"/>
        <w:gridCol w:w="1427"/>
        <w:gridCol w:w="1415"/>
        <w:gridCol w:w="1462"/>
        <w:gridCol w:w="1496"/>
        <w:gridCol w:w="1665"/>
      </w:tblGrid>
      <w:tr>
        <w:trPr>
          <w:cantSplit/>
          <w:tblHeader/>
        </w:trPr>
        <w:tc>
          <w:tcPr>
            <w:tcW w:type="dxa" w:w="1285"/>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Arm</w:t>
            </w:r>
          </w:p>
        </w:tc>
        <w:tc>
          <w:tcPr>
            <w:tcW w:type="dxa" w:w="1474"/>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Parameters</w:t>
            </w:r>
          </w:p>
        </w:tc>
        <w:tc>
          <w:tcPr>
            <w:tcW w:type="dxa" w:w="1427"/>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CPU p50 (ms/window)</w:t>
            </w:r>
          </w:p>
        </w:tc>
        <w:tc>
          <w:tcPr>
            <w:tcW w:type="dxa" w:w="1415"/>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T4 p50 (ms/window)</w:t>
            </w:r>
          </w:p>
        </w:tc>
        <w:tc>
          <w:tcPr>
            <w:tcW w:type="dxa" w:w="1462"/>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CPU train time per run</w:t>
            </w:r>
          </w:p>
        </w:tc>
        <w:tc>
          <w:tcPr>
            <w:tcW w:type="dxa" w:w="1496"/>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T4 train time per run</w:t>
            </w:r>
          </w:p>
        </w:tc>
        <w:tc>
          <w:tcPr>
            <w:tcW w:type="dxa" w:w="1665"/>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T4 peak GPU memory (median of 5 runs)</w:t>
            </w:r>
          </w:p>
        </w:tc>
      </w:tr>
      <w:tr>
        <w:trPr>
          <w:cantSplit/>
        </w:trPr>
        <w:tc>
          <w:tcPr>
            <w:tcW w:type="dxa" w:w="128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none</w:t>
            </w:r>
          </w:p>
        </w:tc>
        <w:tc>
          <w:tcPr>
            <w:tcW w:type="dxa" w:w="147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68,824</w:t>
            </w:r>
          </w:p>
        </w:tc>
        <w:tc>
          <w:tcPr>
            <w:tcW w:type="dxa" w:w="1427"/>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0.324</w:t>
            </w:r>
          </w:p>
        </w:tc>
        <w:tc>
          <w:tcPr>
            <w:tcW w:type="dxa" w:w="141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0.067</w:t>
            </w:r>
          </w:p>
        </w:tc>
        <w:tc>
          <w:tcPr>
            <w:tcW w:type="dxa" w:w="146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171 s</w:t>
            </w:r>
          </w:p>
        </w:tc>
        <w:tc>
          <w:tcPr>
            <w:tcW w:type="dxa" w:w="14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22.3 s</w:t>
            </w:r>
          </w:p>
        </w:tc>
        <w:tc>
          <w:tcPr>
            <w:tcW w:type="dxa" w:w="166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528 MB</w:t>
            </w:r>
          </w:p>
        </w:tc>
      </w:tr>
      <w:tr>
        <w:trPr>
          <w:cantSplit/>
        </w:trPr>
        <w:tc>
          <w:tcPr>
            <w:tcW w:type="dxa" w:w="128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sinusoidal</w:t>
            </w:r>
          </w:p>
        </w:tc>
        <w:tc>
          <w:tcPr>
            <w:tcW w:type="dxa" w:w="147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68,824</w:t>
            </w:r>
          </w:p>
        </w:tc>
        <w:tc>
          <w:tcPr>
            <w:tcW w:type="dxa" w:w="1427"/>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0.316</w:t>
            </w:r>
          </w:p>
        </w:tc>
        <w:tc>
          <w:tcPr>
            <w:tcW w:type="dxa" w:w="141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0.067</w:t>
            </w:r>
          </w:p>
        </w:tc>
        <w:tc>
          <w:tcPr>
            <w:tcW w:type="dxa" w:w="146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170 s</w:t>
            </w:r>
          </w:p>
        </w:tc>
        <w:tc>
          <w:tcPr>
            <w:tcW w:type="dxa" w:w="14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22.3 s</w:t>
            </w:r>
          </w:p>
        </w:tc>
        <w:tc>
          <w:tcPr>
            <w:tcW w:type="dxa" w:w="166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528 MB</w:t>
            </w:r>
          </w:p>
        </w:tc>
      </w:tr>
      <w:tr>
        <w:trPr>
          <w:cantSplit/>
        </w:trPr>
        <w:tc>
          <w:tcPr>
            <w:tcW w:type="dxa" w:w="128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learned</w:t>
            </w:r>
          </w:p>
        </w:tc>
        <w:tc>
          <w:tcPr>
            <w:tcW w:type="dxa" w:w="147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79,576 (+15.6%)</w:t>
            </w:r>
          </w:p>
        </w:tc>
        <w:tc>
          <w:tcPr>
            <w:tcW w:type="dxa" w:w="1427"/>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0.310</w:t>
            </w:r>
          </w:p>
        </w:tc>
        <w:tc>
          <w:tcPr>
            <w:tcW w:type="dxa" w:w="141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0.067</w:t>
            </w:r>
          </w:p>
        </w:tc>
        <w:tc>
          <w:tcPr>
            <w:tcW w:type="dxa" w:w="146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169 s</w:t>
            </w:r>
          </w:p>
        </w:tc>
        <w:tc>
          <w:tcPr>
            <w:tcW w:type="dxa" w:w="14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22.3 s</w:t>
            </w:r>
          </w:p>
        </w:tc>
        <w:tc>
          <w:tcPr>
            <w:tcW w:type="dxa" w:w="166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528 MB</w:t>
            </w:r>
          </w:p>
        </w:tc>
      </w:tr>
      <w:tr>
        <w:trPr>
          <w:cantSplit/>
        </w:trPr>
        <w:tc>
          <w:tcPr>
            <w:tcW w:type="dxa" w:w="128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rope</w:t>
            </w:r>
          </w:p>
        </w:tc>
        <w:tc>
          <w:tcPr>
            <w:tcW w:type="dxa" w:w="1474"/>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68,824</w:t>
            </w:r>
          </w:p>
        </w:tc>
        <w:tc>
          <w:tcPr>
            <w:tcW w:type="dxa" w:w="1427"/>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0.425</w:t>
            </w:r>
          </w:p>
        </w:tc>
        <w:tc>
          <w:tcPr>
            <w:tcW w:type="dxa" w:w="141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0.078</w:t>
            </w:r>
          </w:p>
        </w:tc>
        <w:tc>
          <w:tcPr>
            <w:tcW w:type="dxa" w:w="146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188 s</w:t>
            </w:r>
          </w:p>
        </w:tc>
        <w:tc>
          <w:tcPr>
            <w:tcW w:type="dxa" w:w="14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26.7 s</w:t>
            </w:r>
          </w:p>
        </w:tc>
        <w:tc>
          <w:tcPr>
            <w:tcW w:type="dxa" w:w="166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570 MB</w:t>
            </w:r>
          </w:p>
        </w:tc>
      </w:tr>
    </w:tbl>
    <w:p>
      <w:pPr>
        <w:spacing w:after="80"/>
      </w:pPr>
    </w:p>
    <w:p>
      <w:pPr>
        <w:spacing w:after="100"/>
      </w:pPr>
      <w:r>
        <w:t xml:space="preserve">CPU: Intel Core i9-13900HX in a virtual machine, 8 threads pinned. T4: one free Colab session (2-vCPU host, torch 2.11.0+cu130). Latency is measured after training in five rounds that visit the arms in shuffled order, so drift hits all arms alike; p95 sits within 25% of p50 on the CPU and within 2% on the T4.</w:t>
      </w:r>
    </w:p>
    <w:p>
      <w:pPr>
        <w:pStyle w:val="ListParagraph"/>
        <w:numPr>
          <w:ilvl w:val="0"/>
          <w:numId w:val="2"/>
        </w:numPr>
        <w:spacing w:after="60"/>
      </w:pPr>
      <w:r>
        <w:rPr>
          <w:b/>
          <w:bCs/>
        </w:rPr>
        <w:t xml:space="preserve">RoPE costs more on both machines.</w:t>
      </w:r>
      <w:r>
        <w:t xml:space="preserve"> Latency is +34% on the CPU and +16% on the T4, far above the round-to-round spread (at most 0.010 ms on the CPU and 0.0005 ms on the T4), so this is a repeatable cost, not noise. Training time is +11% on the CPU and +20% on the T4. The likely cause is the extra rotation of queries and keys in every layer in this unfused implementation; no profiling was done to confirm it.</w:t>
      </w:r>
    </w:p>
    <w:p>
      <w:pPr>
        <w:pStyle w:val="ListParagraph"/>
        <w:numPr>
          <w:ilvl w:val="0"/>
          <w:numId w:val="2"/>
        </w:numPr>
        <w:spacing w:after="60"/>
      </w:pPr>
      <w:r>
        <w:rPr>
          <w:b/>
          <w:bCs/>
        </w:rPr>
        <w:t xml:space="preserve">The other three arms cost about the same.</w:t>
      </w:r>
      <w:r>
        <w:t xml:space="preserve"> Their latencies are within 5% of each other on the CPU and within 0.5% on the T4; training times are equal within noise. Learned encodings add 15.6% parameters without a visible time cost at this size.</w:t>
      </w:r>
    </w:p>
    <w:p>
      <w:pPr>
        <w:pStyle w:val="ListParagraph"/>
        <w:numPr>
          <w:ilvl w:val="0"/>
          <w:numId w:val="2"/>
        </w:numPr>
        <w:spacing w:after="60"/>
      </w:pPr>
      <w:r>
        <w:rPr>
          <w:b/>
          <w:bCs/>
        </w:rPr>
        <w:t xml:space="preserve">Memory.</w:t>
      </w:r>
      <w:r>
        <w:t xml:space="preserve"> RoPE peaks 42 MB (+8%) above the other arms. The peak covers one run's training and evaluation and is dominated by the attention maps of the 512-window evaluation batch, not by the model, which is under 1 MB; it measures this script, not a deployed model. It is reported as the median over seeds: the first CUDA run of the session (</w:t>
      </w:r>
      <w:r>
        <w:rPr>
          <w:rFonts w:ascii="Consolas" w:cs="Consolas" w:eastAsia="Consolas" w:hAnsi="Consolas"/>
          <w:sz w:val="19"/>
          <w:szCs w:val="19"/>
        </w:rPr>
        <w:t xml:space="preserve">none</w:t>
      </w:r>
      <w:r>
        <w:t xml:space="preserve">, seed 0) read 593 MB because it paid one-time library workspace, against 528 MB for its other four seeds, so a maximum would have charged that overhead to one arm. The raw per-run values are in </w:t>
      </w:r>
      <w:r>
        <w:rPr>
          <w:rFonts w:ascii="Consolas" w:cs="Consolas" w:eastAsia="Consolas" w:hAnsi="Consolas"/>
          <w:sz w:val="19"/>
          <w:szCs w:val="19"/>
        </w:rPr>
        <w:t xml:space="preserve">results/runs_t4gpu.csv</w:t>
      </w:r>
      <w:r>
        <w:t xml:space="preserve">. The CPU RSS deltas in </w:t>
      </w:r>
      <w:r>
        <w:rPr>
          <w:rFonts w:ascii="Consolas" w:cs="Consolas" w:eastAsia="Consolas" w:hAnsi="Consolas"/>
          <w:sz w:val="19"/>
          <w:szCs w:val="19"/>
        </w:rPr>
        <w:t xml:space="preserve">results/summary_cpu.csv</w:t>
      </w:r>
      <w:r>
        <w:t xml:space="preserve"> are coarse and not a per-model peak.</w:t>
      </w:r>
    </w:p>
    <w:p>
      <w:pPr>
        <w:pStyle w:val="ListParagraph"/>
        <w:numPr>
          <w:ilvl w:val="0"/>
          <w:numId w:val="2"/>
        </w:numPr>
        <w:spacing w:after="60"/>
      </w:pPr>
      <w:r>
        <w:rPr>
          <w:b/>
          <w:bCs/>
        </w:rPr>
        <w:t xml:space="preserve">Caveats.</w:t>
      </w:r>
      <w:r>
        <w:t xml:space="preserve"> An earlier local run that timed each model right after its own training showed the opposite order for RoPE; the interleaved design removed that load artifact. CPU training time was measured on a shared machine, and Colab timing varies between sessions and GPU assignments, so the percentages describe these two sessions. </w:t>
      </w:r>
      <w:r>
        <w:rPr>
          <w:b/>
          <w:bCs/>
        </w:rPr>
        <w:t xml:space="preserve">[OPEN]</w:t>
      </w:r>
      <w:r>
        <w:t xml:space="preserve"> repeat the T4 session before quoting latency outside the company.</w:t>
      </w:r>
    </w:p>
    <w:p>
      <w:pPr>
        <w:spacing w:after="100"/>
      </w:pPr>
      <w:r>
        <w:rPr>
          <w:b/>
          <w:bCs/>
        </w:rPr>
        <w:t xml:space="preserve">Reading accuracy and cost together.</w:t>
      </w:r>
      <w:r>
        <w:t xml:space="preserve"> With accuracy indistinguishable, sinusoidal and learned cost about the same on both machines (learned adds parameters), and RoPE costs the most in latency, training time and memory. This holds for a tiny model at one sequence length and does not transfer to a larger model or to a fused-kernel implementation.</w:t>
      </w:r>
    </w:p>
    <w:p>
      <w:pPr>
        <w:pStyle w:val="Heading2"/>
        <w:keepNext/>
      </w:pPr>
      <w:r>
        <w:t xml:space="preserve">3.3 Limitations and what the study cannot conclude</w:t>
      </w:r>
    </w:p>
    <w:p>
      <w:pPr>
        <w:pStyle w:val="ListParagraph"/>
        <w:numPr>
          <w:ilvl w:val="0"/>
          <w:numId w:val="2"/>
        </w:numPr>
        <w:spacing w:after="60"/>
      </w:pPr>
      <w:r>
        <w:t xml:space="preserve">Synthetic data only. It cannot show that any encoding performs the same on real feeders, and the regular seasonal structure may be exactly why sinusoidal ≈ RoPE ≈ learned here.</w:t>
      </w:r>
    </w:p>
    <w:p>
      <w:pPr>
        <w:pStyle w:val="ListParagraph"/>
        <w:numPr>
          <w:ilvl w:val="0"/>
          <w:numId w:val="2"/>
        </w:numPr>
        <w:spacing w:after="60"/>
      </w:pPr>
      <w:r>
        <w:t xml:space="preserve">One sequence length (168), one horizon (24), one model size, one data seed, one Colab T4 session. The seed spread excludes data-sampling variance, so it understates real uncertainty.</w:t>
      </w:r>
    </w:p>
    <w:p>
      <w:pPr>
        <w:pStyle w:val="ListParagraph"/>
        <w:numPr>
          <w:ilvl w:val="0"/>
          <w:numId w:val="2"/>
        </w:numPr>
        <w:spacing w:after="60"/>
      </w:pPr>
      <w:r>
        <w:t xml:space="preserve">Absolute accuracy (≈8.4 kW MAE on feeders of roughly 80–400 kW base load) is an artefact of the generator's noise level and says nothing about field accuracy.</w:t>
      </w:r>
    </w:p>
    <w:p>
      <w:pPr>
        <w:pStyle w:val="ListParagraph"/>
        <w:numPr>
          <w:ilvl w:val="0"/>
          <w:numId w:val="2"/>
        </w:numPr>
        <w:spacing w:after="60"/>
      </w:pPr>
      <w:r>
        <w:t xml:space="preserve">Not tested: out-of-distribution weather, missing data, outages at inference time, long-horizon drift, subgroup performance.</w:t>
      </w:r>
    </w:p>
    <w:p>
      <w:pPr>
        <w:pStyle w:val="ListParagraph"/>
        <w:numPr>
          <w:ilvl w:val="0"/>
          <w:numId w:val="2"/>
        </w:numPr>
        <w:spacing w:after="60"/>
      </w:pPr>
      <w:r>
        <w:t xml:space="preserve">A positional-encoding choice that is "best" here should not be generalised to quantisation, LoRA rank, or other factors.</w:t>
      </w:r>
    </w:p>
    <w:p>
      <w:pPr>
        <w:pStyle w:val="Heading2"/>
        <w:keepNext/>
      </w:pPr>
      <w:r>
        <w:t xml:space="preserve">3.4 Foreseeable unintended outcomes and known risks (cf. Art. 9)</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3"/>
        <w:gridCol w:w="3296"/>
        <w:gridCol w:w="3725"/>
      </w:tblGrid>
      <w:tr>
        <w:trPr>
          <w:cantSplit/>
          <w:tblHeader/>
        </w:trPr>
        <w:tc>
          <w:tcPr>
            <w:tcW w:type="dxa" w:w="3203"/>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Risk</w:t>
            </w:r>
          </w:p>
        </w:tc>
        <w:tc>
          <w:tcPr>
            <w:tcW w:type="dxa" w:w="3296"/>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Consequence</w:t>
            </w:r>
          </w:p>
        </w:tc>
        <w:tc>
          <w:tcPr>
            <w:tcW w:type="dxa" w:w="3725"/>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Mitigation / status</w:t>
            </w:r>
          </w:p>
        </w:tc>
      </w:tr>
      <w:tr>
        <w:trPr>
          <w:cantSplit/>
        </w:trPr>
        <w:tc>
          <w:tcPr>
            <w:tcW w:type="dxa" w:w="320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Under-forecast of peak demand</w:t>
            </w:r>
          </w:p>
        </w:tc>
        <w:tc>
          <w:tcPr>
            <w:tcW w:type="dxa" w:w="32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Costly spot purchases; in an automated setting, stress on supply</w:t>
            </w:r>
          </w:p>
        </w:tc>
        <w:tc>
          <w:tcPr>
            <w:tcW w:type="dxa" w:w="372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Advisory use only; report error band; </w:t>
            </w:r>
            <w:r>
              <w:rPr>
                <w:b/>
                <w:bCs/>
                <w:sz w:val="16"/>
                <w:szCs w:val="16"/>
              </w:rPr>
              <w:t xml:space="preserve">[OPEN]</w:t>
            </w:r>
            <w:r>
              <w:rPr>
                <w:sz w:val="16"/>
                <w:szCs w:val="16"/>
              </w:rPr>
              <w:t xml:space="preserve"> peak-specific metric</w:t>
            </w:r>
          </w:p>
        </w:tc>
      </w:tr>
      <w:tr>
        <w:trPr>
          <w:cantSplit/>
        </w:trPr>
        <w:tc>
          <w:tcPr>
            <w:tcW w:type="dxa" w:w="320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Over-confidence from synthetic results</w:t>
            </w:r>
          </w:p>
        </w:tc>
        <w:tc>
          <w:tcPr>
            <w:tcW w:type="dxa" w:w="32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Release decision based on non-field evidence</w:t>
            </w:r>
          </w:p>
        </w:tc>
        <w:tc>
          <w:tcPr>
            <w:tcW w:type="dxa" w:w="372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This document's limitations; require real-data re-run before release</w:t>
            </w:r>
          </w:p>
        </w:tc>
      </w:tr>
      <w:tr>
        <w:trPr>
          <w:cantSplit/>
        </w:trPr>
        <w:tc>
          <w:tcPr>
            <w:tcW w:type="dxa" w:w="320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Distribution shift (new load types, DER)</w:t>
            </w:r>
          </w:p>
        </w:tc>
        <w:tc>
          <w:tcPr>
            <w:tcW w:type="dxa" w:w="32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Silent accuracy loss</w:t>
            </w:r>
          </w:p>
        </w:tc>
        <w:tc>
          <w:tcPr>
            <w:tcW w:type="dxa" w:w="372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Post-market drift monitoring (§8)</w:t>
            </w:r>
          </w:p>
        </w:tc>
      </w:tr>
      <w:tr>
        <w:trPr>
          <w:cantSplit/>
        </w:trPr>
        <w:tc>
          <w:tcPr>
            <w:tcW w:type="dxa" w:w="320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Wrong "no difference" conclusion</w:t>
            </w:r>
          </w:p>
        </w:tc>
        <w:tc>
          <w:tcPr>
            <w:tcW w:type="dxa" w:w="32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Picking a variant with hidden cost</w:t>
            </w:r>
          </w:p>
        </w:tc>
        <w:tc>
          <w:tcPr>
            <w:tcW w:type="dxa" w:w="372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Report CI, not only p; power caveat</w:t>
            </w:r>
          </w:p>
        </w:tc>
      </w:tr>
      <w:tr>
        <w:trPr>
          <w:cantSplit/>
        </w:trPr>
        <w:tc>
          <w:tcPr>
            <w:tcW w:type="dxa" w:w="320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Sensor outage / spoofed input</w:t>
            </w:r>
          </w:p>
        </w:tc>
        <w:tc>
          <w:tcPr>
            <w:tcW w:type="dxa" w:w="3296"/>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Bad forecast</w:t>
            </w:r>
          </w:p>
        </w:tc>
        <w:tc>
          <w:tcPr>
            <w:tcW w:type="dxa" w:w="3725"/>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b/>
                <w:bCs/>
                <w:sz w:val="16"/>
                <w:szCs w:val="16"/>
              </w:rPr>
              <w:t xml:space="preserve">[OPEN]</w:t>
            </w:r>
            <w:r>
              <w:rPr>
                <w:sz w:val="16"/>
                <w:szCs w:val="16"/>
              </w:rPr>
              <w:t xml:space="preserve"> input validation</w:t>
            </w:r>
          </w:p>
        </w:tc>
      </w:tr>
    </w:tbl>
    <w:p>
      <w:pPr>
        <w:spacing w:after="80"/>
      </w:pPr>
    </w:p>
    <w:p>
      <w:pPr>
        <w:pStyle w:val="Heading1"/>
        <w:keepNext/>
      </w:pPr>
      <w:r>
        <w:t xml:space="preserve">4. Appropriateness of performance metrics (Annex IV §4)</w:t>
      </w:r>
    </w:p>
    <w:p>
      <w:pPr>
        <w:spacing w:after="100"/>
      </w:pPr>
      <w:r>
        <w:t xml:space="preserve">MAE (kW) is the headline metric because it is in operational units, robust to the outlier outages in the data, and equals the L1 training loss. RMSE is also logged (it penalises large misses, relevant to peaks): arms are in the same order on both machines (CPU: none 29.1, sinusoidal 13.0, learned 13.2, rope 13.0 kW; T4: 28.8, 13.1, 13.2, 13.1 kW). Comparison to two naive forecasts gives a sanity floor. Missing and recommended before release: peak-hour error, bias (signed error), coverage of an uncertainty band, and performance on cold/hot extremes (Art. 15(1) accuracy declared in instructions for use).</w:t>
      </w:r>
    </w:p>
    <w:p>
      <w:pPr>
        <w:pStyle w:val="Heading1"/>
        <w:keepNext/>
      </w:pPr>
      <w:r>
        <w:t xml:space="preserve">5. Risk-management system (Annex IV §5; Art. 9)</w:t>
      </w:r>
    </w:p>
    <w:p>
      <w:pPr>
        <w:spacing w:after="100"/>
      </w:pPr>
      <w:r>
        <w:t xml:space="preserve">Study-level risk controls are the controlled design, multi-seed reporting, declared confounds, held-out chronological test set, and refusal to claim equivalence. A system-level risk-management process (identify → estimate → evaluate → treat, iterated over the lifecycle) is </w:t>
      </w:r>
      <w:r>
        <w:rPr>
          <w:b/>
          <w:bCs/>
        </w:rPr>
        <w:t xml:space="preserve">[OPEN]</w:t>
      </w:r>
      <w:r>
        <w:t xml:space="preserve">: this study feeds it, it is not it.</w:t>
      </w:r>
    </w:p>
    <w:p>
      <w:pPr>
        <w:pStyle w:val="Heading1"/>
        <w:keepNext/>
      </w:pPr>
      <w:r>
        <w:t xml:space="preserve">6. Lifecycle changes (Annex IV §6)</w:t>
      </w:r>
    </w:p>
    <w:p>
      <w:pPr>
        <w:spacing w:after="100"/>
      </w:pPr>
      <w:r>
        <w:t xml:space="preserve">Changes tracked by config file, git history of the repo and </w:t>
      </w:r>
      <w:r>
        <w:rPr>
          <w:rFonts w:ascii="Consolas" w:cs="Consolas" w:eastAsia="Consolas" w:hAnsi="Consolas"/>
          <w:sz w:val="19"/>
          <w:szCs w:val="19"/>
        </w:rPr>
        <w:t xml:space="preserve">results/manifest_cpu.json</w:t>
      </w:r>
      <w:r>
        <w:t xml:space="preserve">. Decision rule proposed: switching positional encoding for release requires a new ablation on real data, with seed count set by a power calculation.</w:t>
      </w:r>
    </w:p>
    <w:p>
      <w:pPr>
        <w:pStyle w:val="Heading1"/>
        <w:keepNext/>
      </w:pPr>
      <w:r>
        <w:t xml:space="preserve">7. Standards and framework mapping (Annex IV §7)</w:t>
      </w:r>
    </w:p>
    <w:p>
      <w:pPr>
        <w:spacing w:after="100"/>
      </w:pPr>
      <w:r>
        <w:t xml:space="preserve">No harmonised standard under the Act is yet relied on </w:t>
      </w:r>
      <w:r>
        <w:rPr>
          <w:b/>
          <w:bCs/>
        </w:rPr>
        <w:t xml:space="preserve">[OPEN]</w:t>
      </w:r>
      <w:r>
        <w:t xml:space="preserve"> (verify current OJEU list). Voluntary frameworks mapped: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519"/>
        <w:gridCol w:w="3272"/>
        <w:gridCol w:w="3433"/>
      </w:tblGrid>
      <w:tr>
        <w:trPr>
          <w:cantSplit/>
          <w:tblHeader/>
        </w:trPr>
        <w:tc>
          <w:tcPr>
            <w:tcW w:type="dxa" w:w="3519"/>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Control in this study</w:t>
            </w:r>
          </w:p>
        </w:tc>
        <w:tc>
          <w:tcPr>
            <w:tcW w:type="dxa" w:w="3272"/>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NIST AI RMF 1.0</w:t>
            </w:r>
          </w:p>
        </w:tc>
        <w:tc>
          <w:tcPr>
            <w:tcW w:type="dxa" w:w="3433"/>
            <w:tcBorders>
              <w:top w:val="single" w:color="B8C0CC" w:sz="4"/>
              <w:left w:val="single" w:color="B8C0CC" w:sz="4"/>
              <w:bottom w:val="single" w:color="B8C0CC" w:sz="4"/>
              <w:right w:val="single" w:color="B8C0CC" w:sz="4"/>
            </w:tcBorders>
            <w:shd w:fill="DDE5EF" w:val="clear"/>
            <w:tcMar>
              <w:top w:type="dxa" w:w="40"/>
              <w:left w:type="dxa" w:w="80"/>
              <w:bottom w:type="dxa" w:w="40"/>
              <w:right w:type="dxa" w:w="80"/>
            </w:tcMar>
          </w:tcPr>
          <w:p>
            <w:pPr>
              <w:spacing w:after="0"/>
            </w:pPr>
            <w:r>
              <w:rPr>
                <w:b/>
                <w:bCs/>
                <w:sz w:val="16"/>
                <w:szCs w:val="16"/>
              </w:rPr>
              <w:t xml:space="preserve">ISO/IEC 42001:2023</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Intended purpose, out-of-scope uses, risk-classification question</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GOVERN 1, MAP 1 (context)</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Cl. 4 (context); Annex A.5 (impact assessment)</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Synthetic-data provenance, hash, split, leakage control</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MAP 2/4, MEASURE 2.1 (test sets documented)</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Annex A.7 (data for AI systems)</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Single-factor ablation, multi-seed spread, Holm-corrected tests</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MEASURE 1–2 (evaluation, TEVV), MEASURE 2.5 (validity/reliability)</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Annex A.6 (AI system life cycle: verification and validation)</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Latency / memory / parameter cost logged</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MEASURE 2.6–2.7 (efficiency, resilience)</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A.6 (design and development)</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Declared confounds and limitations; non-claims</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MEASURE 2.9, MAP 2.2 (limits documented), GOVERN 4 (transparency culture)</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A.8 (information for interested parties)</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Reproducibility package (pins, seeds, configs)</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MEASURE 2.5, GOVERN 1.4 (documented processes)</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A.6 (documentation of life-cycle processes); Cl. 7.5 (documented information)</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Human-in-the-loop advisory use</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GOVERN 3, MANAGE 2</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A.9 (use of AI systems)</w:t>
            </w:r>
          </w:p>
        </w:tc>
      </w:tr>
      <w:tr>
        <w:trPr>
          <w:cantSplit/>
        </w:trPr>
        <w:tc>
          <w:tcPr>
            <w:tcW w:type="dxa" w:w="3519"/>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Drift monitoring, incident process</w:t>
            </w:r>
          </w:p>
        </w:tc>
        <w:tc>
          <w:tcPr>
            <w:tcW w:type="dxa" w:w="3272"/>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MANAGE 4</w:t>
            </w:r>
          </w:p>
        </w:tc>
        <w:tc>
          <w:tcPr>
            <w:tcW w:type="dxa" w:w="3433"/>
            <w:tcBorders>
              <w:top w:val="single" w:color="B8C0CC" w:sz="4"/>
              <w:left w:val="single" w:color="B8C0CC" w:sz="4"/>
              <w:bottom w:val="single" w:color="B8C0CC" w:sz="4"/>
              <w:right w:val="single" w:color="B8C0CC" w:sz="4"/>
            </w:tcBorders>
            <w:tcMar>
              <w:top w:type="dxa" w:w="40"/>
              <w:left w:type="dxa" w:w="80"/>
              <w:bottom w:type="dxa" w:w="40"/>
              <w:right w:type="dxa" w:w="80"/>
            </w:tcMar>
          </w:tcPr>
          <w:p>
            <w:pPr>
              <w:spacing w:after="0"/>
            </w:pPr>
            <w:r>
              <w:rPr>
                <w:sz w:val="16"/>
                <w:szCs w:val="16"/>
              </w:rPr>
              <w:t xml:space="preserve">Cl. 9 (performance evaluation), Cl. 10 (improvement)</w:t>
            </w:r>
          </w:p>
        </w:tc>
      </w:tr>
    </w:tbl>
    <w:p>
      <w:pPr>
        <w:spacing w:after="80"/>
      </w:pPr>
    </w:p>
    <w:p>
      <w:pPr>
        <w:spacing w:after="100"/>
      </w:pPr>
      <w:r>
        <w:t xml:space="preserve">Control IDs are cited at category level; a formal gap assessment against the clause text is </w:t>
      </w:r>
      <w:r>
        <w:rPr>
          <w:b/>
          <w:bCs/>
        </w:rPr>
        <w:t xml:space="preserve">[OPEN]</w:t>
      </w:r>
      <w:r>
        <w:t xml:space="preserve">.</w:t>
      </w:r>
    </w:p>
    <w:p>
      <w:pPr>
        <w:pStyle w:val="Heading1"/>
        <w:keepNext/>
      </w:pPr>
      <w:r>
        <w:t xml:space="preserve">8. Post-market monitoring plan (Annex IV §9; Art. 72) and declaration (§8)</w:t>
      </w:r>
    </w:p>
    <w:p>
      <w:pPr>
        <w:spacing w:after="100"/>
      </w:pPr>
      <w:r>
        <w:t xml:space="preserve">Proposed (not yet in force): weekly rolling MAE and bias per feeder against a naive baseline; alert if MAE exceeds the validated level by a set margin for N days; quarterly retraining review; log inputs/forecasts for traceability (cf. Art. 12). The EU declaration of conformity and any notified-body steps are </w:t>
      </w:r>
      <w:r>
        <w:rPr>
          <w:b/>
          <w:bCs/>
        </w:rPr>
        <w:t xml:space="preserve">[OPEN]</w:t>
      </w:r>
      <w:r>
        <w:t xml:space="preserve"> and not applicable at prototype stage.</w:t>
      </w:r>
    </w:p>
    <w:p>
      <w:pPr>
        <w:pStyle w:val="Heading1"/>
        <w:keepNext/>
      </w:pPr>
      <w:r>
        <w:t xml:space="preserve">9. Summary statement for the conformity file</w:t>
      </w:r>
    </w:p>
    <w:p>
      <w:pPr>
        <w:spacing w:after="100"/>
      </w:pPr>
      <w:r>
        <w:t xml:space="preserve">The study establishes, on synthetic data, that </w:t>
      </w:r>
      <w:r>
        <w:rPr>
          <w:i/>
          <w:iCs/>
        </w:rPr>
        <w:t xml:space="preserve">having</w:t>
      </w:r>
      <w:r>
        <w:t xml:space="preserve"> positional information matters a great deal for this forecaster, and that sinusoidal, learned and rotary encodings are </w:t>
      </w:r>
      <w:r>
        <w:rPr>
          <w:i/>
          <w:iCs/>
        </w:rPr>
        <w:t xml:space="preserve">not distinguishable</w:t>
      </w:r>
      <w:r>
        <w:t xml:space="preserve"> at five seeds, on a local CPU and on a Colab T4 alike. RoPE costs more in latency (+34% CPU, +16% T4), training time and memory. It does not establish equivalence, field accuracy, fairness across user groups, or readiness for release. Outstanding items are marked </w:t>
      </w:r>
      <w:r>
        <w:rPr>
          <w:b/>
          <w:bCs/>
        </w:rPr>
        <w:t xml:space="preserve">[OPEN]</w:t>
      </w:r>
      <w:r>
        <w:t xml:space="preserve"> above.</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Cobalt Grid | Annex IV technical documentation summary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5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120"/>
    </w:pPr>
    <w:rPr>
      <w:rFonts w:ascii="Calibri" w:cs="Calibri" w:eastAsia="Calibri" w:hAnsi="Calibri"/>
      <w:b/>
      <w:bCs/>
      <w:color w:val="1F3A5F"/>
      <w:sz w:val="34"/>
      <w:szCs w:val="34"/>
    </w:rPr>
  </w:style>
  <w:style w:type="paragraph" w:styleId="Heading1">
    <w:name w:val="Heading 1"/>
    <w:basedOn w:val="Normal"/>
    <w:next w:val="Normal"/>
    <w:qFormat/>
    <w:pPr>
      <w:pBdr>
        <w:bottom w:val="single" w:color="B8C0CC" w:sz="6" w:space="2"/>
      </w:pBdr>
      <w:spacing w:after="80" w:before="220"/>
      <w:outlineLvl w:val="0"/>
    </w:pPr>
    <w:rPr>
      <w:rFonts w:ascii="Calibri" w:cs="Calibri" w:eastAsia="Calibri" w:hAnsi="Calibri"/>
      <w:b/>
      <w:bCs/>
      <w:color w:val="1F3A5F"/>
      <w:sz w:val="25"/>
      <w:szCs w:val="25"/>
    </w:rPr>
  </w:style>
  <w:style w:type="paragraph" w:styleId="Heading2">
    <w:name w:val="Heading 2"/>
    <w:basedOn w:val="Normal"/>
    <w:next w:val="Normal"/>
    <w:qFormat/>
    <w:pPr>
      <w:spacing w:after="60" w:before="140"/>
      <w:outlineLvl w:val="1"/>
    </w:pPr>
    <w:rPr>
      <w:rFonts w:ascii="Calibri" w:cs="Calibri" w:eastAsia="Calibri" w:hAnsi="Calibri"/>
      <w:b/>
      <w:bCs/>
      <w:color w:val="2D4F7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Summary (EU AI Act, Annex IV structure)</dc:title>
  <dc:creator>Cobalt Grid</dc:creator>
  <cp:lastModifiedBy>Un-named</cp:lastModifiedBy>
  <cp:revision>1</cp:revision>
  <dcterms:created xsi:type="dcterms:W3CDTF">2026-10-25T17:45:51.429Z</dcterms:created>
  <dcterms:modified xsi:type="dcterms:W3CDTF">2026-10-25T17:45:51.429Z</dcterms:modified>
</cp:coreProperties>
</file>

<file path=docProps/custom.xml><?xml version="1.0" encoding="utf-8"?>
<Properties xmlns="http://schemas.openxmlformats.org/officeDocument/2006/custom-properties" xmlns:vt="http://schemas.openxmlformats.org/officeDocument/2006/docPropsVTypes"/>
</file>