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ptos Display" w:hAnsi="Aptos Display"/>
          <w:b/>
          <w:color w:val="5B39D1"/>
          <w:sz w:val="32"/>
        </w:rPr>
        <w:t>RISKFLOW</w:t>
      </w:r>
    </w:p>
    <w:p>
      <w:pPr>
        <w:jc w:val="center"/>
      </w:pPr>
      <w:r>
        <w:rPr>
          <w:rFonts w:ascii="Aptos Display" w:hAnsi="Aptos Display"/>
          <w:b/>
          <w:color w:val="151B2B"/>
          <w:sz w:val="60"/>
        </w:rPr>
        <w:t>Especificación de diseño adaptable</w:t>
      </w:r>
    </w:p>
    <w:p>
      <w:pPr>
        <w:jc w:val="center"/>
      </w:pPr>
      <w:r>
        <w:rPr>
          <w:color w:val="616B82"/>
          <w:sz w:val="24"/>
        </w:rPr>
        <w:t>Guía visual, estructural y de componentes para interfaces de gestión y análisis</w:t>
      </w:r>
    </w:p>
    <w:p>
      <w:pPr>
        <w:spacing w:before="360"/>
        <w:jc w:val="center"/>
      </w:pPr>
      <w:r>
        <w:rPr>
          <w:i/>
          <w:color w:val="48536E"/>
          <w:sz w:val="22"/>
        </w:rPr>
        <w:t>Propósito: servir como entrada clara para un agente de IA de diseño o desarrollo, sin imponer una pantalla, flujo o dominio específico.</w:t>
      </w:r>
    </w:p>
    <w:p>
      <w:pPr>
        <w:spacing w:before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12"/>
            <w:shd w:fill="090E1A"/>
            <w:tcBorders>
              <w:top w:val="nil"/>
              <w:left w:val="nil"/>
              <w:bottom w:val="nil"/>
              <w:right w:val="nil"/>
            </w:tcBorders>
          </w:tcPr>
          <w:p>
            <w:r>
              <w:br/>
            </w:r>
          </w:p>
        </w:tc>
        <w:tc>
          <w:tcPr>
            <w:tcW w:type="dxa" w:w="1512"/>
            <w:shd w:fill="111A2C"/>
            <w:tcBorders>
              <w:top w:val="nil"/>
              <w:left w:val="nil"/>
              <w:bottom w:val="nil"/>
              <w:right w:val="nil"/>
            </w:tcBorders>
          </w:tcPr>
          <w:p>
            <w:r>
              <w:br/>
            </w:r>
          </w:p>
        </w:tc>
        <w:tc>
          <w:tcPr>
            <w:tcW w:type="dxa" w:w="1512"/>
            <w:shd w:fill="6E52FF"/>
            <w:tcBorders>
              <w:top w:val="nil"/>
              <w:left w:val="nil"/>
              <w:bottom w:val="nil"/>
              <w:right w:val="nil"/>
            </w:tcBorders>
          </w:tcPr>
          <w:p>
            <w:r>
              <w:br/>
            </w:r>
          </w:p>
        </w:tc>
        <w:tc>
          <w:tcPr>
            <w:tcW w:type="dxa" w:w="1512"/>
            <w:shd w:fill="B7FF3C"/>
            <w:tcBorders>
              <w:top w:val="nil"/>
              <w:left w:val="nil"/>
              <w:bottom w:val="nil"/>
              <w:right w:val="nil"/>
            </w:tcBorders>
          </w:tcPr>
          <w:p>
            <w:r>
              <w:br/>
            </w:r>
          </w:p>
        </w:tc>
        <w:tc>
          <w:tcPr>
            <w:tcW w:type="dxa" w:w="1512"/>
            <w:shd w:fill="FFB020"/>
            <w:tcBorders>
              <w:top w:val="nil"/>
              <w:left w:val="nil"/>
              <w:bottom w:val="nil"/>
              <w:right w:val="nil"/>
            </w:tcBorders>
          </w:tcPr>
          <w:p>
            <w:r>
              <w:br/>
            </w:r>
          </w:p>
        </w:tc>
        <w:tc>
          <w:tcPr>
            <w:tcW w:type="dxa" w:w="1512"/>
            <w:shd w:fill="FF5964"/>
            <w:tcBorders>
              <w:top w:val="nil"/>
              <w:left w:val="nil"/>
              <w:bottom w:val="nil"/>
              <w:right w:val="nil"/>
            </w:tcBorders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1. Objetivo del sistema de diseño</w:t>
      </w:r>
    </w:p>
    <w:p>
      <w:pPr>
        <w:pStyle w:val="Callout"/>
      </w:pPr>
      <w:r>
        <w:t>Crear una experiencia digital oscura, elegante y altamente legible que combine la precisión de una plataforma analítica con la claridad de un producto SaaS moderno. El sistema debe adaptarse a paneles, módulos operativos, vistas de detalle, formularios, reportes y flujos de trabajo sin perder coherencia visual.</w:t>
      </w:r>
    </w:p>
    <w:p>
      <w:pPr>
        <w:pStyle w:val="ListBullet"/>
        <w:spacing w:after="60"/>
      </w:pPr>
      <w:r>
        <w:rPr>
          <w:sz w:val="20"/>
        </w:rPr>
        <w:t>Priorizar jerarquía, lectura rápida y acción clara por encima de la decoración.</w:t>
      </w:r>
    </w:p>
    <w:p>
      <w:pPr>
        <w:pStyle w:val="ListBullet"/>
        <w:spacing w:after="60"/>
      </w:pPr>
      <w:r>
        <w:rPr>
          <w:sz w:val="20"/>
        </w:rPr>
        <w:t>Usar color como señal funcional: estado, prioridad, selección o progreso.</w:t>
      </w:r>
    </w:p>
    <w:p>
      <w:pPr>
        <w:pStyle w:val="ListBullet"/>
        <w:spacing w:after="60"/>
      </w:pPr>
      <w:r>
        <w:rPr>
          <w:sz w:val="20"/>
        </w:rPr>
        <w:t>Evitar composiciones rígidas basadas únicamente en tarjetas iguales.</w:t>
      </w:r>
    </w:p>
    <w:p>
      <w:pPr>
        <w:pStyle w:val="ListBullet"/>
        <w:spacing w:after="60"/>
      </w:pPr>
      <w:r>
        <w:rPr>
          <w:sz w:val="20"/>
        </w:rPr>
        <w:t>Mantener una identidad tecnológica sobria, no cyberpunk ni excesivamente brillante.</w:t>
      </w:r>
    </w:p>
    <w:p>
      <w:pPr>
        <w:pStyle w:val="Heading1"/>
      </w:pPr>
      <w:r>
        <w:t>2. Principios de diseño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shd w:fill="151B2B"/>
          </w:tcPr>
          <w:p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5083"/>
            <w:shd w:fill="151B2B"/>
          </w:tcPr>
          <w:p>
            <w:r>
              <w:rPr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rPr>
                <w:b/>
              </w:rPr>
              <w:t>Claridad operativa</w:t>
            </w:r>
          </w:p>
        </w:tc>
        <w:tc>
          <w:tcPr>
            <w:tcW w:type="dxa" w:w="7992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t>Cada pantalla debe comunicar qué ocurre, qué requiere atención y cuál es la siguiente acción.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rPr>
                <w:b/>
              </w:rPr>
              <w:t>Jerarquía visible</w:t>
            </w:r>
          </w:p>
        </w:tc>
        <w:tc>
          <w:tcPr>
            <w:tcW w:type="dxa" w:w="7992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t>Los elementos críticos dominan por escala, contraste o posición; los secundarios permanecen discretos.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rPr>
                <w:b/>
              </w:rPr>
              <w:t>Densidad controlada</w:t>
            </w:r>
          </w:p>
        </w:tc>
        <w:tc>
          <w:tcPr>
            <w:tcW w:type="dxa" w:w="7992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t>Mostrar suficiente información para trabajo profesional sin saturar la vista.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rPr>
                <w:b/>
              </w:rPr>
              <w:t>Consistencia flexible</w:t>
            </w:r>
          </w:p>
        </w:tc>
        <w:tc>
          <w:tcPr>
            <w:tcW w:type="dxa" w:w="7992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t>Los componentes comparten reglas, pero admiten variaciones de tamaño y composición.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rPr>
                <w:b/>
              </w:rPr>
              <w:t>Movimiento con propósito</w:t>
            </w:r>
          </w:p>
        </w:tc>
        <w:tc>
          <w:tcPr>
            <w:tcW w:type="dxa" w:w="7992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t>Las animaciones explican cambios, progreso o relación entre datos; nunca son ornamentales.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rPr>
                <w:b/>
              </w:rPr>
              <w:t>Contexto persistente</w:t>
            </w:r>
          </w:p>
        </w:tc>
        <w:tc>
          <w:tcPr>
            <w:tcW w:type="dxa" w:w="7992"/>
            <w:vAlign w:val="center"/>
            <w:tcBorders>
              <w:top w:val="single" w:sz="4" w:color="DDE2EC"/>
              <w:left w:val="single" w:sz="4" w:color="DDE2EC"/>
              <w:bottom w:val="single" w:sz="4" w:color="DDE2EC"/>
              <w:right w:val="single" w:sz="4" w:color="DDE2EC"/>
            </w:tcBorders>
          </w:tcPr>
          <w:p>
            <w:r>
              <w:t>Proyecto, periodo, filtros y estado del sistema permanecen visibles cuando son relevantes.</w:t>
            </w:r>
          </w:p>
        </w:tc>
      </w:tr>
    </w:tbl>
    <w:p>
      <w:pPr>
        <w:pStyle w:val="Heading1"/>
      </w:pPr>
      <w:r>
        <w:t>3. Lenguaje visual</w:t>
      </w:r>
    </w:p>
    <w:p>
      <w:pPr>
        <w:pStyle w:val="Heading2"/>
      </w:pPr>
      <w:r>
        <w:t>3.1 Paleta funcional</w:t>
      </w:r>
    </w:p>
    <w:p>
      <w:pPr>
        <w:pStyle w:val="ListBullet"/>
        <w:spacing w:after="60"/>
      </w:pPr>
      <w:r>
        <w:rPr>
          <w:sz w:val="20"/>
        </w:rPr>
        <w:t>Base: negro azulado y azul marino profundo para fondo y superficies.</w:t>
      </w:r>
    </w:p>
    <w:p>
      <w:pPr>
        <w:pStyle w:val="ListBullet"/>
        <w:spacing w:after="60"/>
      </w:pPr>
      <w:r>
        <w:rPr>
          <w:sz w:val="20"/>
        </w:rPr>
        <w:t>Primario: violeta eléctrico para identidad, selección y análisis.</w:t>
      </w:r>
    </w:p>
    <w:p>
      <w:pPr>
        <w:pStyle w:val="ListBullet"/>
        <w:spacing w:after="60"/>
      </w:pPr>
      <w:r>
        <w:rPr>
          <w:sz w:val="20"/>
        </w:rPr>
        <w:t>Acento: verde lima para acciones principales, éxito y estados controlados.</w:t>
      </w:r>
    </w:p>
    <w:p>
      <w:pPr>
        <w:pStyle w:val="ListBullet"/>
        <w:spacing w:after="60"/>
      </w:pPr>
      <w:r>
        <w:rPr>
          <w:sz w:val="20"/>
        </w:rPr>
        <w:t>Semánticos: ámbar para advertencia, naranja para nivel alto y rojo coral para crítico.</w:t>
      </w:r>
    </w:p>
    <w:p>
      <w:pPr>
        <w:pStyle w:val="ListBullet"/>
        <w:spacing w:after="60"/>
      </w:pPr>
      <w:r>
        <w:rPr>
          <w:sz w:val="20"/>
        </w:rPr>
        <w:t>Neutros: blanco frío, gris azulado y gris desactivado para texto y divisores.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3B4770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41"/>
            <w:shd w:fill="3B4770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2541"/>
            <w:shd w:fill="3B4770"/>
          </w:tcPr>
          <w:p>
            <w:r>
              <w:rPr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2541"/>
            <w:shd w:fill="3B4770"/>
          </w:tcPr>
          <w:p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2541"/>
          </w:tcPr>
          <w:p>
            <w:r>
              <w:t>background</w:t>
            </w:r>
          </w:p>
        </w:tc>
        <w:tc>
          <w:tcPr>
            <w:tcW w:type="dxa" w:w="2541"/>
          </w:tcPr>
          <w:p>
            <w:r>
              <w:t>Lienzo principal</w:t>
            </w:r>
          </w:p>
        </w:tc>
        <w:tc>
          <w:tcPr>
            <w:tcW w:type="dxa" w:w="2541"/>
          </w:tcPr>
          <w:p>
            <w:r>
              <w:t>#090E1A</w:t>
            </w:r>
          </w:p>
        </w:tc>
        <w:tc>
          <w:tcPr>
            <w:tcW w:type="dxa" w:w="2541"/>
          </w:tcPr>
          <w:p>
            <w:r>
              <w:t>Sin degradados fuertes</w:t>
            </w:r>
          </w:p>
        </w:tc>
      </w:tr>
      <w:tr>
        <w:tc>
          <w:tcPr>
            <w:tcW w:type="dxa" w:w="2541"/>
          </w:tcPr>
          <w:p>
            <w:r>
              <w:t>surface</w:t>
            </w:r>
          </w:p>
        </w:tc>
        <w:tc>
          <w:tcPr>
            <w:tcW w:type="dxa" w:w="2541"/>
          </w:tcPr>
          <w:p>
            <w:r>
              <w:t>Paneles y tarjetas</w:t>
            </w:r>
          </w:p>
        </w:tc>
        <w:tc>
          <w:tcPr>
            <w:tcW w:type="dxa" w:w="2541"/>
          </w:tcPr>
          <w:p>
            <w:r>
              <w:t>#111A2C</w:t>
            </w:r>
          </w:p>
        </w:tc>
        <w:tc>
          <w:tcPr>
            <w:tcW w:type="dxa" w:w="2541"/>
          </w:tcPr>
          <w:p>
            <w:r>
              <w:t>Contraste leve con el fondo</w:t>
            </w:r>
          </w:p>
        </w:tc>
      </w:tr>
      <w:tr>
        <w:tc>
          <w:tcPr>
            <w:tcW w:type="dxa" w:w="2541"/>
          </w:tcPr>
          <w:p>
            <w:r>
              <w:t>primary</w:t>
            </w:r>
          </w:p>
        </w:tc>
        <w:tc>
          <w:tcPr>
            <w:tcW w:type="dxa" w:w="2541"/>
          </w:tcPr>
          <w:p>
            <w:r>
              <w:t>Identidad y selección</w:t>
            </w:r>
          </w:p>
        </w:tc>
        <w:tc>
          <w:tcPr>
            <w:tcW w:type="dxa" w:w="2541"/>
          </w:tcPr>
          <w:p>
            <w:r>
              <w:t>#6E52FF</w:t>
            </w:r>
          </w:p>
        </w:tc>
        <w:tc>
          <w:tcPr>
            <w:tcW w:type="dxa" w:w="2541"/>
          </w:tcPr>
          <w:p>
            <w:r>
              <w:t>No usar en grandes masas</w:t>
            </w:r>
          </w:p>
        </w:tc>
      </w:tr>
      <w:tr>
        <w:tc>
          <w:tcPr>
            <w:tcW w:type="dxa" w:w="2541"/>
          </w:tcPr>
          <w:p>
            <w:r>
              <w:t>accent</w:t>
            </w:r>
          </w:p>
        </w:tc>
        <w:tc>
          <w:tcPr>
            <w:tcW w:type="dxa" w:w="2541"/>
          </w:tcPr>
          <w:p>
            <w:r>
              <w:t>CTA y éxito</w:t>
            </w:r>
          </w:p>
        </w:tc>
        <w:tc>
          <w:tcPr>
            <w:tcW w:type="dxa" w:w="2541"/>
          </w:tcPr>
          <w:p>
            <w:r>
              <w:t>#B7FF3C</w:t>
            </w:r>
          </w:p>
        </w:tc>
        <w:tc>
          <w:tcPr>
            <w:tcW w:type="dxa" w:w="2541"/>
          </w:tcPr>
          <w:p>
            <w:r>
              <w:t>Reservar para acciones clave</w:t>
            </w:r>
          </w:p>
        </w:tc>
      </w:tr>
      <w:tr>
        <w:tc>
          <w:tcPr>
            <w:tcW w:type="dxa" w:w="2541"/>
          </w:tcPr>
          <w:p>
            <w:r>
              <w:t>warning</w:t>
            </w:r>
          </w:p>
        </w:tc>
        <w:tc>
          <w:tcPr>
            <w:tcW w:type="dxa" w:w="2541"/>
          </w:tcPr>
          <w:p>
            <w:r>
              <w:t>Advertencias</w:t>
            </w:r>
          </w:p>
        </w:tc>
        <w:tc>
          <w:tcPr>
            <w:tcW w:type="dxa" w:w="2541"/>
          </w:tcPr>
          <w:p>
            <w:r>
              <w:t>#FFB020</w:t>
            </w:r>
          </w:p>
        </w:tc>
        <w:tc>
          <w:tcPr>
            <w:tcW w:type="dxa" w:w="2541"/>
          </w:tcPr>
          <w:p>
            <w:r>
              <w:t>Evitar usar junto a éxito</w:t>
            </w:r>
          </w:p>
        </w:tc>
      </w:tr>
      <w:tr>
        <w:tc>
          <w:tcPr>
            <w:tcW w:type="dxa" w:w="2541"/>
          </w:tcPr>
          <w:p>
            <w:r>
              <w:t>critical</w:t>
            </w:r>
          </w:p>
        </w:tc>
        <w:tc>
          <w:tcPr>
            <w:tcW w:type="dxa" w:w="2541"/>
          </w:tcPr>
          <w:p>
            <w:r>
              <w:t>Errores y criticidad</w:t>
            </w:r>
          </w:p>
        </w:tc>
        <w:tc>
          <w:tcPr>
            <w:tcW w:type="dxa" w:w="2541"/>
          </w:tcPr>
          <w:p>
            <w:r>
              <w:t>#FF5964</w:t>
            </w:r>
          </w:p>
        </w:tc>
        <w:tc>
          <w:tcPr>
            <w:tcW w:type="dxa" w:w="2541"/>
          </w:tcPr>
          <w:p>
            <w:r>
              <w:t>Usar con moderación</w:t>
            </w:r>
          </w:p>
        </w:tc>
      </w:tr>
    </w:tbl>
    <w:p>
      <w:pPr>
        <w:pStyle w:val="Heading2"/>
      </w:pPr>
      <w:r>
        <w:t>3.2 Tipografía</w:t>
      </w:r>
    </w:p>
    <w:p>
      <w:pPr>
        <w:pStyle w:val="ListBullet"/>
        <w:spacing w:after="60"/>
      </w:pPr>
      <w:r>
        <w:rPr>
          <w:sz w:val="20"/>
        </w:rPr>
        <w:t>Fuente principal: Inter, Geist, Manrope o equivalente sans serif moderna.</w:t>
      </w:r>
    </w:p>
    <w:p>
      <w:pPr>
        <w:pStyle w:val="ListBullet"/>
        <w:spacing w:after="60"/>
      </w:pPr>
      <w:r>
        <w:rPr>
          <w:sz w:val="20"/>
        </w:rPr>
        <w:t>Títulos: peso semibold o bold; cuerpo: regular; etiquetas: medium en mayúsculas pequeñas.</w:t>
      </w:r>
    </w:p>
    <w:p>
      <w:pPr>
        <w:pStyle w:val="ListBullet"/>
        <w:spacing w:after="60"/>
      </w:pPr>
      <w:r>
        <w:rPr>
          <w:sz w:val="20"/>
        </w:rPr>
        <w:t>Datos técnicos, códigos y marcas de tiempo: fuente monoespaciada opcional.</w:t>
      </w:r>
    </w:p>
    <w:p>
      <w:pPr>
        <w:pStyle w:val="ListBullet"/>
        <w:spacing w:after="60"/>
      </w:pPr>
      <w:r>
        <w:rPr>
          <w:sz w:val="20"/>
        </w:rPr>
        <w:t>Serif cursiva solo como recurso editorial puntual en encabezados, nunca en textos operativos.</w:t>
      </w:r>
    </w:p>
    <w:p>
      <w:pPr>
        <w:pStyle w:val="Heading2"/>
      </w:pPr>
      <w:r>
        <w:t>3.3 Espaciado, forma y profundidad</w:t>
      </w:r>
    </w:p>
    <w:p>
      <w:pPr>
        <w:pStyle w:val="ListBullet"/>
        <w:spacing w:after="60"/>
      </w:pPr>
      <w:r>
        <w:rPr>
          <w:sz w:val="20"/>
        </w:rPr>
        <w:t>Sistema base de 4 px; usar múltiplos de 4 para padding, márgenes y separación.</w:t>
      </w:r>
    </w:p>
    <w:p>
      <w:pPr>
        <w:pStyle w:val="ListBullet"/>
        <w:spacing w:after="60"/>
      </w:pPr>
      <w:r>
        <w:rPr>
          <w:sz w:val="20"/>
        </w:rPr>
        <w:t>Radio estándar: 12–16 px en paneles; 8–12 px en controles; cápsulas totalmente redondeadas.</w:t>
      </w:r>
    </w:p>
    <w:p>
      <w:pPr>
        <w:pStyle w:val="ListBullet"/>
        <w:spacing w:after="60"/>
      </w:pPr>
      <w:r>
        <w:rPr>
          <w:sz w:val="20"/>
        </w:rPr>
        <w:t>Bordes de 1 px con baja opacidad; sombras amplias y suaves, sin efecto flotante exagerado.</w:t>
      </w:r>
    </w:p>
    <w:p>
      <w:pPr>
        <w:pStyle w:val="ListBullet"/>
        <w:spacing w:after="60"/>
      </w:pPr>
      <w:r>
        <w:rPr>
          <w:sz w:val="20"/>
        </w:rPr>
        <w:t>Usar reflejo interno superior o gradiente muy tenue para diferenciar superficies elevadas.</w:t>
      </w:r>
    </w:p>
    <w:p>
      <w:pPr>
        <w:pStyle w:val="Heading1"/>
      </w:pPr>
      <w:r>
        <w:t>4. Arquitectura de interfaz</w:t>
      </w:r>
    </w:p>
    <w:p>
      <w:pPr>
        <w:pStyle w:val="ListNumber"/>
        <w:spacing w:after="60"/>
      </w:pPr>
      <w:r>
        <w:rPr>
          <w:sz w:val="20"/>
        </w:rPr>
        <w:t>Navegación primaria: barra lateral o navegación contextual estable.</w:t>
      </w:r>
    </w:p>
    <w:p>
      <w:pPr>
        <w:pStyle w:val="ListNumber"/>
        <w:spacing w:after="60"/>
      </w:pPr>
      <w:r>
        <w:rPr>
          <w:sz w:val="20"/>
        </w:rPr>
        <w:t>Contexto global: barra superior con búsqueda, selector, filtros y estado del usuario.</w:t>
      </w:r>
    </w:p>
    <w:p>
      <w:pPr>
        <w:pStyle w:val="ListNumber"/>
        <w:spacing w:after="60"/>
      </w:pPr>
      <w:r>
        <w:rPr>
          <w:sz w:val="20"/>
        </w:rPr>
        <w:t>Encabezado de vista: título, descripción, metadatos y acciones principales.</w:t>
      </w:r>
    </w:p>
    <w:p>
      <w:pPr>
        <w:pStyle w:val="ListNumber"/>
        <w:spacing w:after="60"/>
      </w:pPr>
      <w:r>
        <w:rPr>
          <w:sz w:val="20"/>
        </w:rPr>
        <w:t>Zona de información: composición modular, asimétrica y basada en prioridad.</w:t>
      </w:r>
    </w:p>
    <w:p>
      <w:pPr>
        <w:pStyle w:val="ListNumber"/>
        <w:spacing w:after="60"/>
      </w:pPr>
      <w:r>
        <w:rPr>
          <w:sz w:val="20"/>
        </w:rPr>
        <w:t>Zona contextual: panel lateral, drawer o inspector para detalles y acciones secundarias.</w:t>
      </w:r>
    </w:p>
    <w:p>
      <w:pPr>
        <w:pStyle w:val="Callout"/>
      </w:pPr>
      <w:r>
        <w:t>Regla de composición: una pantalla debe tener un foco dominante, uno o dos módulos secundarios y un conjunto reducido de elementos de apoyo. Evitar que todos los bloques compitan con el mismo peso visual.</w:t>
      </w:r>
    </w:p>
    <w:p>
      <w:pPr>
        <w:pStyle w:val="Heading1"/>
      </w:pPr>
      <w:r>
        <w:t>5. Catálogo de componentes</w:t>
      </w:r>
    </w:p>
    <w:p>
      <w:pPr>
        <w:spacing w:after="100"/>
      </w:pPr>
      <w:r>
        <w:rPr>
          <w:b/>
          <w:color w:val="5B39D1"/>
        </w:rPr>
        <w:t xml:space="preserve">Navegación lateral: </w:t>
      </w:r>
      <w:r>
        <w:rPr>
          <w:sz w:val="20"/>
        </w:rPr>
        <w:t>Logo, agrupaciones, opciones activas, contadores y perfil. Debe poder colapsarse sin perder reconocimiento por iconos.</w:t>
      </w:r>
    </w:p>
    <w:p>
      <w:pPr>
        <w:spacing w:after="100"/>
      </w:pPr>
      <w:r>
        <w:rPr>
          <w:b/>
          <w:color w:val="5B39D1"/>
        </w:rPr>
        <w:t xml:space="preserve">Barra superior: </w:t>
      </w:r>
      <w:r>
        <w:rPr>
          <w:sz w:val="20"/>
        </w:rPr>
        <w:t>Búsqueda, contexto activo, filtros globales, estado del sistema, notificaciones y usuario.</w:t>
      </w:r>
    </w:p>
    <w:p>
      <w:pPr>
        <w:spacing w:after="100"/>
      </w:pPr>
      <w:r>
        <w:rPr>
          <w:b/>
          <w:color w:val="5B39D1"/>
        </w:rPr>
        <w:t xml:space="preserve">Encabezado de página: </w:t>
      </w:r>
      <w:r>
        <w:rPr>
          <w:sz w:val="20"/>
        </w:rPr>
        <w:t>Ruta, título, descripción breve, metadatos y uno o dos CTA.</w:t>
      </w:r>
    </w:p>
    <w:p>
      <w:pPr>
        <w:spacing w:after="100"/>
      </w:pPr>
      <w:r>
        <w:rPr>
          <w:b/>
          <w:color w:val="5B39D1"/>
        </w:rPr>
        <w:t xml:space="preserve">Tarjeta métrica: </w:t>
      </w:r>
      <w:r>
        <w:rPr>
          <w:sz w:val="20"/>
        </w:rPr>
        <w:t>Valor, etiqueta, variación, estado y microvisualización. Permitir tamaños pequeño, medio y destacado.</w:t>
      </w:r>
    </w:p>
    <w:p>
      <w:pPr>
        <w:spacing w:after="100"/>
      </w:pPr>
      <w:r>
        <w:rPr>
          <w:b/>
          <w:color w:val="5B39D1"/>
        </w:rPr>
        <w:t xml:space="preserve">Banda de indicadores: </w:t>
      </w:r>
      <w:r>
        <w:rPr>
          <w:sz w:val="20"/>
        </w:rPr>
        <w:t>Agrupa métricas relacionadas como un sistema continuo, evitando tarjetas repetitivas.</w:t>
      </w:r>
    </w:p>
    <w:p>
      <w:pPr>
        <w:spacing w:after="100"/>
      </w:pPr>
      <w:r>
        <w:rPr>
          <w:b/>
          <w:color w:val="5B39D1"/>
        </w:rPr>
        <w:t xml:space="preserve">Panel analítico: </w:t>
      </w:r>
      <w:r>
        <w:rPr>
          <w:sz w:val="20"/>
        </w:rPr>
        <w:t>Contenedor para gráficos, leyendas, filtros, explicación y acciones de exploración.</w:t>
      </w:r>
    </w:p>
    <w:p>
      <w:pPr>
        <w:spacing w:after="100"/>
      </w:pPr>
      <w:r>
        <w:rPr>
          <w:b/>
          <w:color w:val="5B39D1"/>
        </w:rPr>
        <w:t xml:space="preserve">Matriz o mapa: </w:t>
      </w:r>
      <w:r>
        <w:rPr>
          <w:sz w:val="20"/>
        </w:rPr>
        <w:t>Representa intensidad, posición o relación. Debe incluir leyenda, ejes y estados interactivos.</w:t>
      </w:r>
    </w:p>
    <w:p>
      <w:pPr>
        <w:spacing w:after="100"/>
      </w:pPr>
      <w:r>
        <w:rPr>
          <w:b/>
          <w:color w:val="5B39D1"/>
        </w:rPr>
        <w:t xml:space="preserve">Lista priorizada: </w:t>
      </w:r>
      <w:r>
        <w:rPr>
          <w:sz w:val="20"/>
        </w:rPr>
        <w:t>Filas o tarjetas compactas con severidad, identidad, responsable, estado y acción.</w:t>
      </w:r>
    </w:p>
    <w:p>
      <w:pPr>
        <w:spacing w:after="100"/>
      </w:pPr>
      <w:r>
        <w:rPr>
          <w:b/>
          <w:color w:val="5B39D1"/>
        </w:rPr>
        <w:t xml:space="preserve">Centro de acciones: </w:t>
      </w:r>
      <w:r>
        <w:rPr>
          <w:sz w:val="20"/>
        </w:rPr>
        <w:t>Acciones frecuentes con contexto, urgencia, cantidad pendiente y disponibilidad.</w:t>
      </w:r>
    </w:p>
    <w:p>
      <w:pPr>
        <w:spacing w:after="100"/>
      </w:pPr>
      <w:r>
        <w:rPr>
          <w:b/>
          <w:color w:val="5B39D1"/>
        </w:rPr>
        <w:t xml:space="preserve">Timeline o flujo: </w:t>
      </w:r>
      <w:r>
        <w:rPr>
          <w:sz w:val="20"/>
        </w:rPr>
        <w:t>Etapas, nodos, progreso, bloqueos y fechas. Útil para procesos y tratamientos.</w:t>
      </w:r>
    </w:p>
    <w:p>
      <w:pPr>
        <w:spacing w:after="100"/>
      </w:pPr>
      <w:r>
        <w:rPr>
          <w:b/>
          <w:color w:val="5B39D1"/>
        </w:rPr>
        <w:t xml:space="preserve">Sensor / KRI: </w:t>
      </w:r>
      <w:r>
        <w:rPr>
          <w:sz w:val="20"/>
        </w:rPr>
        <w:t>Valor actual, umbral, tendencia, alerta y micrográfico en formato compacto.</w:t>
      </w:r>
    </w:p>
    <w:p>
      <w:pPr>
        <w:spacing w:after="100"/>
      </w:pPr>
      <w:r>
        <w:rPr>
          <w:b/>
          <w:color w:val="5B39D1"/>
        </w:rPr>
        <w:t xml:space="preserve">Resumen narrativo: </w:t>
      </w:r>
      <w:r>
        <w:rPr>
          <w:sz w:val="20"/>
        </w:rPr>
        <w:t>Síntesis automática con hallazgos, recomendaciones y decisiones sugeridas.</w:t>
      </w:r>
    </w:p>
    <w:p>
      <w:pPr>
        <w:spacing w:after="100"/>
      </w:pPr>
      <w:r>
        <w:rPr>
          <w:b/>
          <w:color w:val="5B39D1"/>
        </w:rPr>
        <w:t xml:space="preserve">Inspector lateral: </w:t>
      </w:r>
      <w:r>
        <w:rPr>
          <w:sz w:val="20"/>
        </w:rPr>
        <w:t>Detalle sin abandonar la vista: propiedades, historial, responsables y acciones.</w:t>
      </w:r>
    </w:p>
    <w:p>
      <w:pPr>
        <w:spacing w:after="100"/>
      </w:pPr>
      <w:r>
        <w:rPr>
          <w:b/>
          <w:color w:val="5B39D1"/>
        </w:rPr>
        <w:t xml:space="preserve">Formulario: </w:t>
      </w:r>
      <w:r>
        <w:rPr>
          <w:sz w:val="20"/>
        </w:rPr>
        <w:t>Secciones claras, ayuda contextual, validación inline, estados y acciones persistentes.</w:t>
      </w:r>
    </w:p>
    <w:p>
      <w:pPr>
        <w:spacing w:after="100"/>
      </w:pPr>
      <w:r>
        <w:rPr>
          <w:b/>
          <w:color w:val="5B39D1"/>
        </w:rPr>
        <w:t xml:space="preserve">Tabla avanzada: </w:t>
      </w:r>
      <w:r>
        <w:rPr>
          <w:sz w:val="20"/>
        </w:rPr>
        <w:t>Solo cuando la comparación tabular sea necesaria; incluir columnas configurables, filtros y densidad ajustable.</w:t>
      </w:r>
    </w:p>
    <w:p>
      <w:pPr>
        <w:spacing w:after="100"/>
      </w:pPr>
      <w:r>
        <w:rPr>
          <w:b/>
          <w:color w:val="5B39D1"/>
        </w:rPr>
        <w:t xml:space="preserve">Estado vacío / carga / error: </w:t>
      </w:r>
      <w:r>
        <w:rPr>
          <w:sz w:val="20"/>
        </w:rPr>
        <w:t>Mensajes claros, acción recomendada y representación visual coherente con la marca.</w:t>
      </w:r>
    </w:p>
    <w:p>
      <w:pPr>
        <w:pStyle w:val="Heading1"/>
      </w:pPr>
      <w:r>
        <w:t>6. Anatomía común de los componentes</w:t>
      </w:r>
    </w:p>
    <w:p>
      <w:pPr>
        <w:pStyle w:val="ListBullet"/>
        <w:spacing w:after="60"/>
      </w:pPr>
      <w:r>
        <w:rPr>
          <w:sz w:val="20"/>
        </w:rPr>
        <w:t>Cabecera: título corto, contexto secundario y acción opcional.</w:t>
      </w:r>
    </w:p>
    <w:p>
      <w:pPr>
        <w:pStyle w:val="ListBullet"/>
        <w:spacing w:after="60"/>
      </w:pPr>
      <w:r>
        <w:rPr>
          <w:sz w:val="20"/>
        </w:rPr>
        <w:t>Cuerpo: información principal, visualización o control.</w:t>
      </w:r>
    </w:p>
    <w:p>
      <w:pPr>
        <w:pStyle w:val="ListBullet"/>
        <w:spacing w:after="60"/>
      </w:pPr>
      <w:r>
        <w:rPr>
          <w:sz w:val="20"/>
        </w:rPr>
        <w:t>Estado: color semántico, etiqueta, icono o señal discreta.</w:t>
      </w:r>
    </w:p>
    <w:p>
      <w:pPr>
        <w:pStyle w:val="ListBullet"/>
        <w:spacing w:after="60"/>
      </w:pPr>
      <w:r>
        <w:rPr>
          <w:sz w:val="20"/>
        </w:rPr>
        <w:t>Pie: comparación, timestamp, fuente o acción secundaria cuando sea necesaria.</w:t>
      </w:r>
    </w:p>
    <w:p>
      <w:pPr>
        <w:pStyle w:val="ListBullet"/>
        <w:spacing w:after="60"/>
      </w:pPr>
      <w:r>
        <w:rPr>
          <w:sz w:val="20"/>
        </w:rPr>
        <w:t>Interacción: hover, focus, pressed, selected, disabled, loading y error.</w:t>
      </w:r>
    </w:p>
    <w:p>
      <w:pPr>
        <w:pStyle w:val="ListBullet"/>
        <w:spacing w:after="60"/>
      </w:pPr>
      <w:r>
        <w:rPr>
          <w:sz w:val="20"/>
        </w:rPr>
        <w:t>Adaptación: contenido truncado, wrap controlado y comportamiento responsive definido.</w:t>
      </w:r>
    </w:p>
    <w:p>
      <w:pPr>
        <w:pStyle w:val="Heading1"/>
      </w:pPr>
      <w:r>
        <w:t>7. Interacción y movimiento</w:t>
      </w:r>
    </w:p>
    <w:p>
      <w:pPr>
        <w:pStyle w:val="ListBullet"/>
        <w:spacing w:after="60"/>
      </w:pPr>
      <w:r>
        <w:rPr>
          <w:sz w:val="20"/>
        </w:rPr>
        <w:t>Duración estándar: 180–250 ms; usar easing suave y consistente.</w:t>
      </w:r>
    </w:p>
    <w:p>
      <w:pPr>
        <w:pStyle w:val="ListBullet"/>
        <w:spacing w:after="60"/>
      </w:pPr>
      <w:r>
        <w:rPr>
          <w:sz w:val="20"/>
        </w:rPr>
        <w:t>Hover: cambio leve de superficie, borde o elevación; nunca animaciones agresivas.</w:t>
      </w:r>
    </w:p>
    <w:p>
      <w:pPr>
        <w:pStyle w:val="ListBullet"/>
        <w:spacing w:after="60"/>
      </w:pPr>
      <w:r>
        <w:rPr>
          <w:sz w:val="20"/>
        </w:rPr>
        <w:t>Focus: anillo visible y accesible, independiente del color de estado.</w:t>
      </w:r>
    </w:p>
    <w:p>
      <w:pPr>
        <w:pStyle w:val="ListBullet"/>
        <w:spacing w:after="60"/>
      </w:pPr>
      <w:r>
        <w:rPr>
          <w:sz w:val="20"/>
        </w:rPr>
        <w:t>Datos: contadores, barras y gráficos pueden aparecer progresivamente.</w:t>
      </w:r>
    </w:p>
    <w:p>
      <w:pPr>
        <w:pStyle w:val="ListBullet"/>
        <w:spacing w:after="60"/>
      </w:pPr>
      <w:r>
        <w:rPr>
          <w:sz w:val="20"/>
        </w:rPr>
        <w:t>Alertas críticas: pulso sutil y limitado; no usar movimiento permanente en múltiples elementos.</w:t>
      </w:r>
    </w:p>
    <w:p>
      <w:pPr>
        <w:pStyle w:val="ListBullet"/>
        <w:spacing w:after="60"/>
      </w:pPr>
      <w:r>
        <w:rPr>
          <w:sz w:val="20"/>
        </w:rPr>
        <w:t>Detalles: preferir drawer, popover o expansión inline antes que navegar innecesariamente.</w:t>
      </w:r>
    </w:p>
    <w:p>
      <w:pPr>
        <w:pStyle w:val="Heading1"/>
      </w:pPr>
      <w:r>
        <w:t>8. Responsive y accesibilidad</w:t>
      </w:r>
    </w:p>
    <w:p>
      <w:pPr>
        <w:pStyle w:val="ListBullet"/>
        <w:spacing w:after="60"/>
      </w:pPr>
      <w:r>
        <w:rPr>
          <w:sz w:val="20"/>
        </w:rPr>
        <w:t>Escritorio: navegación persistente, composición de dos o tres zonas y mayor densidad.</w:t>
      </w:r>
    </w:p>
    <w:p>
      <w:pPr>
        <w:pStyle w:val="ListBullet"/>
        <w:spacing w:after="60"/>
      </w:pPr>
      <w:r>
        <w:rPr>
          <w:sz w:val="20"/>
        </w:rPr>
        <w:t>Tablet: navegación colapsable, dos columnas y acciones reorganizadas horizontalmente.</w:t>
      </w:r>
    </w:p>
    <w:p>
      <w:pPr>
        <w:pStyle w:val="ListBullet"/>
        <w:spacing w:after="60"/>
      </w:pPr>
      <w:r>
        <w:rPr>
          <w:sz w:val="20"/>
        </w:rPr>
        <w:t>Móvil: navegación inferior o drawer, módulos apilados, gráficos simplificados y CTA flotante opcional.</w:t>
      </w:r>
    </w:p>
    <w:p>
      <w:pPr>
        <w:pStyle w:val="ListBullet"/>
        <w:spacing w:after="60"/>
      </w:pPr>
      <w:r>
        <w:rPr>
          <w:sz w:val="20"/>
        </w:rPr>
        <w:t>Mantener contraste WCAG AA, foco visible, navegación por teclado y etiquetas para lectores de pantalla.</w:t>
      </w:r>
    </w:p>
    <w:p>
      <w:pPr>
        <w:pStyle w:val="ListBullet"/>
        <w:spacing w:after="60"/>
      </w:pPr>
      <w:r>
        <w:rPr>
          <w:sz w:val="20"/>
        </w:rPr>
        <w:t>No depender exclusivamente del color: acompañar estados con texto, icono o patrón.</w:t>
      </w:r>
    </w:p>
    <w:p>
      <w:pPr>
        <w:pStyle w:val="ListBullet"/>
        <w:spacing w:after="60"/>
      </w:pPr>
      <w:r>
        <w:rPr>
          <w:sz w:val="20"/>
        </w:rPr>
        <w:t>Objetivos táctiles mínimos de 44 × 44 px en móvil.</w:t>
      </w:r>
    </w:p>
    <w:p>
      <w:pPr>
        <w:pStyle w:val="Heading1"/>
      </w:pPr>
      <w:r>
        <w:t>9. Reglas de ejecución para un agente de IA</w:t>
      </w:r>
    </w:p>
    <w:p>
      <w:pPr>
        <w:pStyle w:val="ListNumber"/>
        <w:spacing w:after="60"/>
      </w:pPr>
      <w:r>
        <w:rPr>
          <w:sz w:val="20"/>
        </w:rPr>
        <w:t>Interpretar esta guía como un sistema adaptable, no como una única pantalla rígida.</w:t>
      </w:r>
    </w:p>
    <w:p>
      <w:pPr>
        <w:pStyle w:val="ListNumber"/>
        <w:spacing w:after="60"/>
      </w:pPr>
      <w:r>
        <w:rPr>
          <w:sz w:val="20"/>
        </w:rPr>
        <w:t>Seleccionar los componentes según el propósito de la vista y la prioridad de la información.</w:t>
      </w:r>
    </w:p>
    <w:p>
      <w:pPr>
        <w:pStyle w:val="ListNumber"/>
        <w:spacing w:after="60"/>
      </w:pPr>
      <w:r>
        <w:rPr>
          <w:sz w:val="20"/>
        </w:rPr>
        <w:t>Definir un foco visual principal y evitar que todos los paneles tengan igual protagonismo.</w:t>
      </w:r>
    </w:p>
    <w:p>
      <w:pPr>
        <w:pStyle w:val="ListNumber"/>
        <w:spacing w:after="60"/>
      </w:pPr>
      <w:r>
        <w:rPr>
          <w:sz w:val="20"/>
        </w:rPr>
        <w:t>Generar estados completos: normal, hover, focus, selected, loading, empty, error y disabled.</w:t>
      </w:r>
    </w:p>
    <w:p>
      <w:pPr>
        <w:pStyle w:val="ListNumber"/>
        <w:spacing w:after="60"/>
      </w:pPr>
      <w:r>
        <w:rPr>
          <w:sz w:val="20"/>
        </w:rPr>
        <w:t>Usar datos simulados realistas cuando no exista una fuente de datos.</w:t>
      </w:r>
    </w:p>
    <w:p>
      <w:pPr>
        <w:pStyle w:val="ListNumber"/>
        <w:spacing w:after="60"/>
      </w:pPr>
      <w:r>
        <w:rPr>
          <w:sz w:val="20"/>
        </w:rPr>
        <w:t>Mantener tokens de color, espaciado, tipografía y radio en variables reutilizables.</w:t>
      </w:r>
    </w:p>
    <w:p>
      <w:pPr>
        <w:pStyle w:val="ListNumber"/>
        <w:spacing w:after="60"/>
      </w:pPr>
      <w:r>
        <w:rPr>
          <w:sz w:val="20"/>
        </w:rPr>
        <w:t>Construir componentes desacoplados, reutilizables y preparados para integración con API.</w:t>
      </w:r>
    </w:p>
    <w:p>
      <w:pPr>
        <w:pStyle w:val="ListNumber"/>
        <w:spacing w:after="60"/>
      </w:pPr>
      <w:r>
        <w:rPr>
          <w:sz w:val="20"/>
        </w:rPr>
        <w:t>Validar accesibilidad, responsive y legibilidad antes de considerar la vista terminada.</w:t>
      </w:r>
    </w:p>
    <w:p>
      <w:pPr>
        <w:pStyle w:val="Heading1"/>
      </w:pPr>
      <w:r>
        <w:t>10. Criterios de aceptación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La interfaz transmite una identidad oscura, premium y profesional.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La jerarquía permite detectar la información prioritaria en menos de cinco segundos.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Los componentes no parecen una colección de tarjetas idénticas.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El color se usa con significado y no como decoración.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Existe consistencia entre navegación, paneles, controles y estados.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La composición se adapta correctamente a escritorio, tablet y móvil.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Los estados de carga, vacío, error y deshabilitado están diseñados.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La interfaz es accesible mediante teclado y conserva contraste suficiente.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Los componentes son reutilizables y no dependen de un contenido específico.</w:t>
      </w:r>
    </w:p>
    <w:p>
      <w:pPr>
        <w:spacing w:after="80"/>
        <w:ind w:left="144"/>
      </w:pPr>
      <w:r>
        <w:rPr>
          <w:color w:val="6E52FF"/>
        </w:rPr>
        <w:t xml:space="preserve">☐  </w:t>
      </w:r>
      <w:r>
        <w:t>El resultado es funcional, original y preparado para evolucionar.</w:t>
      </w:r>
    </w:p>
    <w:p>
      <w:pPr>
        <w:pStyle w:val="Heading1"/>
      </w:pPr>
      <w:r>
        <w:t>11. Instrucción compacta para ejecución</w:t>
      </w:r>
    </w:p>
    <w:p>
      <w:pPr>
        <w:pStyle w:val="Callout"/>
      </w:pPr>
      <w:r>
        <w:t>Diseña una interfaz oscura, premium y adaptable basada en este sistema visual. Combina navegación clara, jerarquía fuerte, superficies azul marino, acentos violeta y verde lima, tipografía moderna, componentes modulares y visualizaciones legibles. Usa una composición asimétrica con un foco dominante, módulos secundarios y acciones contextuales. Implementa estados completos, responsive, accesibilidad y microinteracciones discretas. No copies una pantalla concreta ni uses tarjetas idénticas como único recurso; selecciona y adapta los componentes según el objetivo de cada vista.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6"/>
        <w:sz w:val="16"/>
      </w:rPr>
      <w:t>Especificación visual y de componentes · Documento ejecutable por agentes de 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47E97"/>
        <w:sz w:val="16"/>
      </w:rPr>
      <w:t>RISKFLOW  /  SISTEMA DE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1B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B47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39D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51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/>
      <w:ind w:left="259" w:right="259"/>
    </w:pPr>
    <w:rPr>
      <w:rFonts w:ascii="Aptos" w:hAnsi="Aptos"/>
      <w:color w:val="2B344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RiskFlow - Especificación de diseño adaptable</dc:title>
  <dc:subject>Sistema visual y catálogo de componentes para agentes de IA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