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C76F" w14:textId="77777777" w:rsidR="00DE0C06" w:rsidRDefault="007C211D">
      <w:pPr>
        <w:ind w:left="0" w:firstLine="0"/>
      </w:pPr>
      <w:r>
        <w:rPr>
          <w:color w:val="0B3C5D"/>
          <w:sz w:val="44"/>
        </w:rPr>
        <w:t>Smith &amp; Nephew - Valuation Thesis</w:t>
      </w:r>
    </w:p>
    <w:p w14:paraId="1D18C9DD" w14:textId="7321F998" w:rsidR="00DE0C06" w:rsidRDefault="007C211D">
      <w:pPr>
        <w:spacing w:line="267" w:lineRule="auto"/>
        <w:ind w:left="-5"/>
      </w:pPr>
      <w:r>
        <w:rPr>
          <w:color w:val="6B7280"/>
          <w:sz w:val="19"/>
        </w:rPr>
        <w:t>06 November 2025</w:t>
      </w:r>
    </w:p>
    <w:p w14:paraId="5B04E346" w14:textId="77777777" w:rsidR="00DE0C06" w:rsidRDefault="007C211D">
      <w:pPr>
        <w:spacing w:after="409"/>
        <w:ind w:left="0" w:firstLine="0"/>
      </w:pPr>
      <w:r>
        <w:rPr>
          <w:rFonts w:ascii="Calibri" w:eastAsia="Calibri" w:hAnsi="Calibri" w:cs="Calibri"/>
          <w:noProof/>
        </w:rPr>
        <mc:AlternateContent>
          <mc:Choice Requires="wpg">
            <w:drawing>
              <wp:inline distT="0" distB="0" distL="0" distR="0" wp14:anchorId="0E0FA104" wp14:editId="08A0DC37">
                <wp:extent cx="6255599" cy="20320"/>
                <wp:effectExtent l="0" t="0" r="0" b="0"/>
                <wp:docPr id="6138" name="Group 6138"/>
                <wp:cNvGraphicFramePr/>
                <a:graphic xmlns:a="http://schemas.openxmlformats.org/drawingml/2006/main">
                  <a:graphicData uri="http://schemas.microsoft.com/office/word/2010/wordprocessingGroup">
                    <wpg:wgp>
                      <wpg:cNvGrpSpPr/>
                      <wpg:grpSpPr>
                        <a:xfrm>
                          <a:off x="0" y="0"/>
                          <a:ext cx="6255599" cy="20320"/>
                          <a:chOff x="0" y="0"/>
                          <a:chExt cx="6255599" cy="20320"/>
                        </a:xfrm>
                      </wpg:grpSpPr>
                      <wps:wsp>
                        <wps:cNvPr id="8" name="Shape 8"/>
                        <wps:cNvSpPr/>
                        <wps:spPr>
                          <a:xfrm>
                            <a:off x="0" y="0"/>
                            <a:ext cx="6255599" cy="0"/>
                          </a:xfrm>
                          <a:custGeom>
                            <a:avLst/>
                            <a:gdLst/>
                            <a:ahLst/>
                            <a:cxnLst/>
                            <a:rect l="0" t="0" r="0" b="0"/>
                            <a:pathLst>
                              <a:path w="6255599">
                                <a:moveTo>
                                  <a:pt x="0" y="0"/>
                                </a:moveTo>
                                <a:lnTo>
                                  <a:pt x="6255599" y="0"/>
                                </a:lnTo>
                              </a:path>
                            </a:pathLst>
                          </a:custGeom>
                          <a:ln w="20320" cap="rnd">
                            <a:miter lim="127000"/>
                          </a:ln>
                        </wps:spPr>
                        <wps:style>
                          <a:lnRef idx="1">
                            <a:srgbClr val="1B99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38" style="width:492.567pt;height:1.6pt;mso-position-horizontal-relative:char;mso-position-vertical-relative:line" coordsize="62555,203">
                <v:shape id="Shape 8" style="position:absolute;width:62555;height:0;left:0;top:0;" coordsize="6255599,0" path="m0,0l6255599,0">
                  <v:stroke weight="1.6pt" endcap="round" joinstyle="miter" miterlimit="10" on="true" color="#1b998b"/>
                  <v:fill on="false" color="#000000" opacity="0"/>
                </v:shape>
              </v:group>
            </w:pict>
          </mc:Fallback>
        </mc:AlternateContent>
      </w:r>
    </w:p>
    <w:p w14:paraId="658FD2EA" w14:textId="77777777" w:rsidR="00DE0C06" w:rsidRDefault="007C211D">
      <w:pPr>
        <w:pStyle w:val="Heading1"/>
        <w:shd w:val="clear" w:color="auto" w:fill="0B3C5D"/>
        <w:ind w:left="262"/>
      </w:pPr>
      <w:r>
        <w:t>Executive summary</w:t>
      </w:r>
    </w:p>
    <w:p w14:paraId="599B36B8" w14:textId="266CE2DA" w:rsidR="00DE0C06" w:rsidRDefault="007C211D">
      <w:pPr>
        <w:ind w:left="-5"/>
      </w:pPr>
      <w:r>
        <w:t xml:space="preserve">We have </w:t>
      </w:r>
      <w:r>
        <w:t xml:space="preserve">evaluated </w:t>
      </w:r>
      <w:r>
        <w:t>Smith &amp; Nephew through three approached</w:t>
      </w:r>
      <w:r>
        <w:t>: a whole company DCF</w:t>
      </w:r>
      <w:r>
        <w:t xml:space="preserve">, a sum of the parts, using the different </w:t>
      </w:r>
      <w:r>
        <w:t>segments’ costs and revenues</w:t>
      </w:r>
      <w:r>
        <w:t>, and a risk-adjusted NPV that prices and incorporates their upcoming</w:t>
      </w:r>
      <w:r>
        <w:t xml:space="preserve"> pipeline</w:t>
      </w:r>
    </w:p>
    <w:tbl>
      <w:tblPr>
        <w:tblStyle w:val="TableGrid"/>
        <w:tblW w:w="9354" w:type="dxa"/>
        <w:tblInd w:w="0" w:type="dxa"/>
        <w:tblCellMar>
          <w:top w:w="121" w:type="dxa"/>
          <w:left w:w="120" w:type="dxa"/>
          <w:bottom w:w="0" w:type="dxa"/>
          <w:right w:w="120" w:type="dxa"/>
        </w:tblCellMar>
        <w:tblLook w:val="04A0" w:firstRow="1" w:lastRow="0" w:firstColumn="1" w:lastColumn="0" w:noHBand="0" w:noVBand="1"/>
      </w:tblPr>
      <w:tblGrid>
        <w:gridCol w:w="3118"/>
        <w:gridCol w:w="3118"/>
        <w:gridCol w:w="3118"/>
      </w:tblGrid>
      <w:tr w:rsidR="00DE0C06" w14:paraId="3FA2CB15" w14:textId="77777777">
        <w:trPr>
          <w:trHeight w:val="360"/>
        </w:trPr>
        <w:tc>
          <w:tcPr>
            <w:tcW w:w="3118" w:type="dxa"/>
            <w:tcBorders>
              <w:top w:val="single" w:sz="2" w:space="0" w:color="D3D3D3"/>
              <w:left w:val="single" w:sz="2" w:space="0" w:color="D3D3D3"/>
              <w:bottom w:val="single" w:sz="2" w:space="0" w:color="D3D3D3"/>
              <w:right w:val="single" w:sz="2" w:space="0" w:color="D3D3D3"/>
            </w:tcBorders>
            <w:shd w:val="clear" w:color="auto" w:fill="F2F4F7"/>
          </w:tcPr>
          <w:p w14:paraId="328F1746" w14:textId="5022270D" w:rsidR="00DE0C06" w:rsidRDefault="007C211D">
            <w:pPr>
              <w:ind w:left="0" w:firstLine="0"/>
            </w:pPr>
            <w:r>
              <w:t xml:space="preserve">Valuation </w:t>
            </w:r>
            <w:r>
              <w:t>Method</w:t>
            </w:r>
          </w:p>
        </w:tc>
        <w:tc>
          <w:tcPr>
            <w:tcW w:w="3118" w:type="dxa"/>
            <w:tcBorders>
              <w:top w:val="single" w:sz="2" w:space="0" w:color="D3D3D3"/>
              <w:left w:val="single" w:sz="2" w:space="0" w:color="D3D3D3"/>
              <w:bottom w:val="single" w:sz="2" w:space="0" w:color="D3D3D3"/>
              <w:right w:val="single" w:sz="2" w:space="0" w:color="D3D3D3"/>
            </w:tcBorders>
            <w:shd w:val="clear" w:color="auto" w:fill="F2F4F7"/>
          </w:tcPr>
          <w:p w14:paraId="367C9785" w14:textId="5AF6A521" w:rsidR="00DE0C06" w:rsidRDefault="007C211D">
            <w:pPr>
              <w:ind w:left="0" w:firstLine="0"/>
            </w:pPr>
            <w:r>
              <w:t xml:space="preserve">Value </w:t>
            </w:r>
            <w:r>
              <w:t>Per ADR</w:t>
            </w:r>
          </w:p>
        </w:tc>
        <w:tc>
          <w:tcPr>
            <w:tcW w:w="3118" w:type="dxa"/>
            <w:tcBorders>
              <w:top w:val="single" w:sz="2" w:space="0" w:color="D3D3D3"/>
              <w:left w:val="single" w:sz="2" w:space="0" w:color="D3D3D3"/>
              <w:bottom w:val="single" w:sz="2" w:space="0" w:color="D3D3D3"/>
              <w:right w:val="single" w:sz="2" w:space="0" w:color="D3D3D3"/>
            </w:tcBorders>
            <w:shd w:val="clear" w:color="auto" w:fill="F2F4F7"/>
          </w:tcPr>
          <w:p w14:paraId="64CDA0E8" w14:textId="6E67F7F9" w:rsidR="00DE0C06" w:rsidRDefault="007C211D">
            <w:pPr>
              <w:ind w:left="0" w:firstLine="0"/>
            </w:pPr>
            <w:r>
              <w:t>Vs USD</w:t>
            </w:r>
            <w:r>
              <w:t xml:space="preserve"> 36.82</w:t>
            </w:r>
          </w:p>
        </w:tc>
      </w:tr>
      <w:tr w:rsidR="00DE0C06" w14:paraId="44C189EB" w14:textId="77777777">
        <w:trPr>
          <w:trHeight w:val="360"/>
        </w:trPr>
        <w:tc>
          <w:tcPr>
            <w:tcW w:w="3118" w:type="dxa"/>
            <w:tcBorders>
              <w:top w:val="single" w:sz="2" w:space="0" w:color="D3D3D3"/>
              <w:left w:val="single" w:sz="2" w:space="0" w:color="D3D3D3"/>
              <w:bottom w:val="single" w:sz="2" w:space="0" w:color="D3D3D3"/>
              <w:right w:val="single" w:sz="2" w:space="0" w:color="D3D3D3"/>
            </w:tcBorders>
            <w:shd w:val="clear" w:color="auto" w:fill="FFFFFF"/>
          </w:tcPr>
          <w:p w14:paraId="6355C68F" w14:textId="77777777" w:rsidR="00DE0C06" w:rsidRDefault="007C211D">
            <w:pPr>
              <w:ind w:left="0" w:firstLine="0"/>
            </w:pPr>
            <w:r>
              <w:t>DCF</w:t>
            </w:r>
          </w:p>
        </w:tc>
        <w:tc>
          <w:tcPr>
            <w:tcW w:w="3118" w:type="dxa"/>
            <w:tcBorders>
              <w:top w:val="single" w:sz="2" w:space="0" w:color="D3D3D3"/>
              <w:left w:val="single" w:sz="2" w:space="0" w:color="D3D3D3"/>
              <w:bottom w:val="single" w:sz="2" w:space="0" w:color="D3D3D3"/>
              <w:right w:val="single" w:sz="2" w:space="0" w:color="D3D3D3"/>
            </w:tcBorders>
            <w:shd w:val="clear" w:color="auto" w:fill="FFFFFF"/>
          </w:tcPr>
          <w:p w14:paraId="6CAF454C" w14:textId="37401485" w:rsidR="00DE0C06" w:rsidRDefault="007C211D">
            <w:pPr>
              <w:ind w:left="0" w:firstLine="0"/>
              <w:jc w:val="right"/>
            </w:pPr>
            <w:r>
              <w:t>$</w:t>
            </w:r>
            <w:r>
              <w:t>38.84</w:t>
            </w:r>
          </w:p>
        </w:tc>
        <w:tc>
          <w:tcPr>
            <w:tcW w:w="3118" w:type="dxa"/>
            <w:tcBorders>
              <w:top w:val="single" w:sz="2" w:space="0" w:color="D3D3D3"/>
              <w:left w:val="single" w:sz="2" w:space="0" w:color="D3D3D3"/>
              <w:bottom w:val="single" w:sz="2" w:space="0" w:color="D3D3D3"/>
              <w:right w:val="single" w:sz="2" w:space="0" w:color="D3D3D3"/>
            </w:tcBorders>
            <w:shd w:val="clear" w:color="auto" w:fill="FFFFFF"/>
          </w:tcPr>
          <w:p w14:paraId="1B025D49" w14:textId="77777777" w:rsidR="00DE0C06" w:rsidRDefault="007C211D">
            <w:pPr>
              <w:ind w:left="0" w:firstLine="0"/>
              <w:jc w:val="right"/>
            </w:pPr>
            <w:r>
              <w:t>5.5%</w:t>
            </w:r>
          </w:p>
        </w:tc>
      </w:tr>
      <w:tr w:rsidR="00DE0C06" w14:paraId="1AFDA051" w14:textId="77777777">
        <w:trPr>
          <w:trHeight w:val="360"/>
        </w:trPr>
        <w:tc>
          <w:tcPr>
            <w:tcW w:w="3118" w:type="dxa"/>
            <w:tcBorders>
              <w:top w:val="single" w:sz="2" w:space="0" w:color="D3D3D3"/>
              <w:left w:val="single" w:sz="2" w:space="0" w:color="D3D3D3"/>
              <w:bottom w:val="single" w:sz="2" w:space="0" w:color="D3D3D3"/>
              <w:right w:val="single" w:sz="2" w:space="0" w:color="D3D3D3"/>
            </w:tcBorders>
            <w:shd w:val="clear" w:color="auto" w:fill="FBFDFF"/>
          </w:tcPr>
          <w:p w14:paraId="4FD4D263" w14:textId="77777777" w:rsidR="00DE0C06" w:rsidRDefault="007C211D">
            <w:pPr>
              <w:ind w:left="0" w:firstLine="0"/>
            </w:pPr>
            <w:r>
              <w:t>SOTP</w:t>
            </w:r>
          </w:p>
        </w:tc>
        <w:tc>
          <w:tcPr>
            <w:tcW w:w="3118" w:type="dxa"/>
            <w:tcBorders>
              <w:top w:val="single" w:sz="2" w:space="0" w:color="D3D3D3"/>
              <w:left w:val="single" w:sz="2" w:space="0" w:color="D3D3D3"/>
              <w:bottom w:val="single" w:sz="2" w:space="0" w:color="D3D3D3"/>
              <w:right w:val="single" w:sz="2" w:space="0" w:color="D3D3D3"/>
            </w:tcBorders>
            <w:shd w:val="clear" w:color="auto" w:fill="FBFDFF"/>
          </w:tcPr>
          <w:p w14:paraId="32980DE3" w14:textId="6DAB6420" w:rsidR="00DE0C06" w:rsidRDefault="007C211D">
            <w:pPr>
              <w:ind w:left="0" w:firstLine="0"/>
              <w:jc w:val="right"/>
            </w:pPr>
            <w:r>
              <w:t>$</w:t>
            </w:r>
            <w:r>
              <w:t>41.03</w:t>
            </w:r>
          </w:p>
        </w:tc>
        <w:tc>
          <w:tcPr>
            <w:tcW w:w="3118" w:type="dxa"/>
            <w:tcBorders>
              <w:top w:val="single" w:sz="2" w:space="0" w:color="D3D3D3"/>
              <w:left w:val="single" w:sz="2" w:space="0" w:color="D3D3D3"/>
              <w:bottom w:val="single" w:sz="2" w:space="0" w:color="D3D3D3"/>
              <w:right w:val="single" w:sz="2" w:space="0" w:color="D3D3D3"/>
            </w:tcBorders>
            <w:shd w:val="clear" w:color="auto" w:fill="FBFDFF"/>
          </w:tcPr>
          <w:p w14:paraId="0E5982DA" w14:textId="77777777" w:rsidR="00DE0C06" w:rsidRDefault="007C211D">
            <w:pPr>
              <w:ind w:left="0" w:firstLine="0"/>
              <w:jc w:val="right"/>
            </w:pPr>
            <w:r>
              <w:t>11.4%</w:t>
            </w:r>
          </w:p>
        </w:tc>
      </w:tr>
      <w:tr w:rsidR="00DE0C06" w14:paraId="6160F6E8" w14:textId="77777777">
        <w:trPr>
          <w:trHeight w:val="360"/>
        </w:trPr>
        <w:tc>
          <w:tcPr>
            <w:tcW w:w="3118" w:type="dxa"/>
            <w:tcBorders>
              <w:top w:val="single" w:sz="2" w:space="0" w:color="D3D3D3"/>
              <w:left w:val="single" w:sz="2" w:space="0" w:color="D3D3D3"/>
              <w:bottom w:val="single" w:sz="2" w:space="0" w:color="D3D3D3"/>
              <w:right w:val="single" w:sz="2" w:space="0" w:color="D3D3D3"/>
            </w:tcBorders>
            <w:shd w:val="clear" w:color="auto" w:fill="FFFFFF"/>
          </w:tcPr>
          <w:p w14:paraId="0EFC02F8" w14:textId="77777777" w:rsidR="00DE0C06" w:rsidRDefault="007C211D">
            <w:pPr>
              <w:ind w:left="0" w:firstLine="0"/>
            </w:pPr>
            <w:r>
              <w:t>rNPV</w:t>
            </w:r>
          </w:p>
        </w:tc>
        <w:tc>
          <w:tcPr>
            <w:tcW w:w="3118" w:type="dxa"/>
            <w:tcBorders>
              <w:top w:val="single" w:sz="2" w:space="0" w:color="D3D3D3"/>
              <w:left w:val="single" w:sz="2" w:space="0" w:color="D3D3D3"/>
              <w:bottom w:val="single" w:sz="2" w:space="0" w:color="D3D3D3"/>
              <w:right w:val="single" w:sz="2" w:space="0" w:color="D3D3D3"/>
            </w:tcBorders>
            <w:shd w:val="clear" w:color="auto" w:fill="FFFFFF"/>
          </w:tcPr>
          <w:p w14:paraId="750A98C4" w14:textId="545EC2DE" w:rsidR="00DE0C06" w:rsidRDefault="007C211D">
            <w:pPr>
              <w:ind w:left="0" w:firstLine="0"/>
              <w:jc w:val="right"/>
            </w:pPr>
            <w:r>
              <w:t>$</w:t>
            </w:r>
            <w:r>
              <w:t>51.37</w:t>
            </w:r>
          </w:p>
        </w:tc>
        <w:tc>
          <w:tcPr>
            <w:tcW w:w="3118" w:type="dxa"/>
            <w:tcBorders>
              <w:top w:val="single" w:sz="2" w:space="0" w:color="D3D3D3"/>
              <w:left w:val="single" w:sz="2" w:space="0" w:color="D3D3D3"/>
              <w:bottom w:val="single" w:sz="2" w:space="0" w:color="D3D3D3"/>
              <w:right w:val="single" w:sz="2" w:space="0" w:color="D3D3D3"/>
            </w:tcBorders>
            <w:shd w:val="clear" w:color="auto" w:fill="FFFFFF"/>
          </w:tcPr>
          <w:p w14:paraId="32938BA5" w14:textId="77777777" w:rsidR="00DE0C06" w:rsidRDefault="007C211D">
            <w:pPr>
              <w:ind w:left="0" w:firstLine="0"/>
              <w:jc w:val="right"/>
            </w:pPr>
            <w:r>
              <w:t>39.5%</w:t>
            </w:r>
          </w:p>
        </w:tc>
      </w:tr>
      <w:tr w:rsidR="00DE0C06" w14:paraId="0A6A26B7" w14:textId="77777777">
        <w:trPr>
          <w:trHeight w:val="360"/>
        </w:trPr>
        <w:tc>
          <w:tcPr>
            <w:tcW w:w="3118" w:type="dxa"/>
            <w:tcBorders>
              <w:top w:val="single" w:sz="2" w:space="0" w:color="D3D3D3"/>
              <w:left w:val="single" w:sz="2" w:space="0" w:color="D3D3D3"/>
              <w:bottom w:val="single" w:sz="2" w:space="0" w:color="D3D3D3"/>
              <w:right w:val="single" w:sz="2" w:space="0" w:color="D3D3D3"/>
            </w:tcBorders>
            <w:shd w:val="clear" w:color="auto" w:fill="FBFDFF"/>
          </w:tcPr>
          <w:p w14:paraId="5FED0470" w14:textId="77777777" w:rsidR="00DE0C06" w:rsidRDefault="007C211D">
            <w:pPr>
              <w:ind w:left="0" w:firstLine="0"/>
            </w:pPr>
            <w:r>
              <w:t>Median / Average</w:t>
            </w:r>
          </w:p>
        </w:tc>
        <w:tc>
          <w:tcPr>
            <w:tcW w:w="3118" w:type="dxa"/>
            <w:tcBorders>
              <w:top w:val="single" w:sz="2" w:space="0" w:color="D3D3D3"/>
              <w:left w:val="single" w:sz="2" w:space="0" w:color="D3D3D3"/>
              <w:bottom w:val="single" w:sz="2" w:space="0" w:color="D3D3D3"/>
              <w:right w:val="single" w:sz="2" w:space="0" w:color="D3D3D3"/>
            </w:tcBorders>
            <w:shd w:val="clear" w:color="auto" w:fill="FBFDFF"/>
          </w:tcPr>
          <w:p w14:paraId="22D01495" w14:textId="333D8DEA" w:rsidR="00DE0C06" w:rsidRDefault="007C211D">
            <w:pPr>
              <w:ind w:left="0" w:firstLine="0"/>
              <w:jc w:val="right"/>
            </w:pPr>
            <w:r>
              <w:t>$</w:t>
            </w:r>
            <w:r>
              <w:t>41.03 / $</w:t>
            </w:r>
            <w:r>
              <w:t>43.75</w:t>
            </w:r>
          </w:p>
        </w:tc>
        <w:tc>
          <w:tcPr>
            <w:tcW w:w="3118" w:type="dxa"/>
            <w:tcBorders>
              <w:top w:val="single" w:sz="2" w:space="0" w:color="D3D3D3"/>
              <w:left w:val="single" w:sz="2" w:space="0" w:color="D3D3D3"/>
              <w:bottom w:val="single" w:sz="2" w:space="0" w:color="D3D3D3"/>
              <w:right w:val="single" w:sz="2" w:space="0" w:color="D3D3D3"/>
            </w:tcBorders>
            <w:shd w:val="clear" w:color="auto" w:fill="FBFDFF"/>
          </w:tcPr>
          <w:p w14:paraId="23B24E14" w14:textId="77777777" w:rsidR="00DE0C06" w:rsidRDefault="007C211D">
            <w:pPr>
              <w:ind w:left="0" w:firstLine="0"/>
              <w:jc w:val="right"/>
            </w:pPr>
            <w:r>
              <w:t>11.4% / 18.8%</w:t>
            </w:r>
          </w:p>
        </w:tc>
      </w:tr>
    </w:tbl>
    <w:p w14:paraId="255BFEF8" w14:textId="77777777" w:rsidR="00DE0C06" w:rsidRDefault="007C211D">
      <w:pPr>
        <w:spacing w:after="304"/>
        <w:ind w:left="390" w:firstLine="0"/>
      </w:pPr>
      <w:r>
        <w:rPr>
          <w:noProof/>
        </w:rPr>
        <w:drawing>
          <wp:inline distT="0" distB="0" distL="0" distR="0" wp14:anchorId="1E2CE194" wp14:editId="3AD6BC10">
            <wp:extent cx="5760000" cy="29880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
                    <a:stretch>
                      <a:fillRect/>
                    </a:stretch>
                  </pic:blipFill>
                  <pic:spPr>
                    <a:xfrm>
                      <a:off x="0" y="0"/>
                      <a:ext cx="5760000" cy="2988000"/>
                    </a:xfrm>
                    <a:prstGeom prst="rect">
                      <a:avLst/>
                    </a:prstGeom>
                  </pic:spPr>
                </pic:pic>
              </a:graphicData>
            </a:graphic>
          </wp:inline>
        </w:drawing>
      </w:r>
    </w:p>
    <w:p w14:paraId="55512451" w14:textId="77777777" w:rsidR="00DE0C06" w:rsidRDefault="007C211D">
      <w:pPr>
        <w:pStyle w:val="Heading1"/>
        <w:shd w:val="clear" w:color="auto" w:fill="0B3C5D"/>
        <w:ind w:left="262"/>
      </w:pPr>
      <w:r>
        <w:t>Context from recent disclosures and industry sources</w:t>
      </w:r>
    </w:p>
    <w:p w14:paraId="24EB286B" w14:textId="77777777" w:rsidR="00DE0C06" w:rsidRDefault="007C211D">
      <w:pPr>
        <w:ind w:left="-5"/>
      </w:pPr>
      <w:r>
        <w:t xml:space="preserve">Management reports the 12-point improvement plan largely complete with margin expansion across all units in 2024, and reiterated 2025 guidance for mid-single-digit growth and higher trading margins. H1 2025 results also introduced a sizeable buyback, signalling confidence in cash generation. Externally, China remains a swing factor following 2024 volume-based procurement pressure; by contrast, innovation cadence in Sports Medicine stays a relative bright spot. The CORI handheld robotics platform now covers </w:t>
      </w:r>
      <w:r>
        <w:t xml:space="preserve">primary and revision knee, hip and partial procedures with image-free </w:t>
      </w:r>
      <w:r>
        <w:lastRenderedPageBreak/>
        <w:t>mapping, which supports adoption, although capital intensity and training remain practical constraints.</w:t>
      </w:r>
    </w:p>
    <w:p w14:paraId="6C7A6769" w14:textId="77777777" w:rsidR="00DE0C06" w:rsidRDefault="007C211D">
      <w:pPr>
        <w:pStyle w:val="Heading1"/>
        <w:ind w:left="262"/>
      </w:pPr>
      <w:r>
        <w:t>Investment thesis - what we are paying for</w:t>
      </w:r>
    </w:p>
    <w:p w14:paraId="2EDE1F7B" w14:textId="77777777" w:rsidR="00DE0C06" w:rsidRDefault="007C211D">
      <w:pPr>
        <w:spacing w:after="282"/>
        <w:ind w:left="-5"/>
      </w:pPr>
      <w:r>
        <w:t xml:space="preserve">- Resilient cash flows from procedure-linked demand and an attractive aftermarket in implants and consumables. - Margin repair as the primary near-term equity driver; every sustained one point of margin is meaningful for equity value. - Mix shift towards Sports Med and Advanced Wound is positive; Orthopaedics execution is the swing factor that will set the multiple. - Balance sheet strength provides strategic flexibility for tightly screened bolt-ons and buybacks without compromising resilience. - Pipeline </w:t>
      </w:r>
      <w:r>
        <w:t>optionality is real but must be earned through evidence of adoption and utilisation.</w:t>
      </w:r>
    </w:p>
    <w:p w14:paraId="1A6A80BC" w14:textId="77777777" w:rsidR="00DE0C06" w:rsidRDefault="007C211D">
      <w:pPr>
        <w:pStyle w:val="Heading1"/>
        <w:shd w:val="clear" w:color="auto" w:fill="0B3C5D"/>
        <w:ind w:left="262"/>
      </w:pPr>
      <w:r>
        <w:t>Operating discipline - signals in the model</w:t>
      </w:r>
    </w:p>
    <w:p w14:paraId="02D977FA" w14:textId="77777777" w:rsidR="00DE0C06" w:rsidRDefault="007C211D">
      <w:pPr>
        <w:ind w:left="-5"/>
      </w:pPr>
      <w:r>
        <w:t>Free cash flow to enterprise value steps up from 3.1% in 2025 to 4.2% by 2029. Capex runs at about -7.7% of sales on average, with depreciation and amortisation similar, suggesting sustaining needs are manageable. Working-capital drag moderates; EBIT-to-FCF conversion improves from</w:t>
      </w:r>
    </w:p>
    <w:p w14:paraId="6BDC76D4" w14:textId="77777777" w:rsidR="00DE0C06" w:rsidRDefault="007C211D">
      <w:pPr>
        <w:ind w:left="-5"/>
      </w:pPr>
      <w:r>
        <w:t>71.8% to 75.6% across the plan.</w:t>
      </w:r>
    </w:p>
    <w:tbl>
      <w:tblPr>
        <w:tblStyle w:val="TableGrid"/>
        <w:tblW w:w="9354" w:type="dxa"/>
        <w:tblInd w:w="0" w:type="dxa"/>
        <w:tblCellMar>
          <w:top w:w="121" w:type="dxa"/>
          <w:left w:w="0" w:type="dxa"/>
          <w:bottom w:w="0" w:type="dxa"/>
          <w:right w:w="14" w:type="dxa"/>
        </w:tblCellMar>
        <w:tblLook w:val="04A0" w:firstRow="1" w:lastRow="0" w:firstColumn="1" w:lastColumn="0" w:noHBand="0" w:noVBand="1"/>
      </w:tblPr>
      <w:tblGrid>
        <w:gridCol w:w="4819"/>
        <w:gridCol w:w="4535"/>
      </w:tblGrid>
      <w:tr w:rsidR="00DE0C06" w14:paraId="35793DB3" w14:textId="77777777">
        <w:trPr>
          <w:trHeight w:val="360"/>
        </w:trPr>
        <w:tc>
          <w:tcPr>
            <w:tcW w:w="4819" w:type="dxa"/>
            <w:tcBorders>
              <w:top w:val="single" w:sz="2" w:space="0" w:color="D3D3D3"/>
              <w:left w:val="single" w:sz="2" w:space="0" w:color="D3D3D3"/>
              <w:bottom w:val="single" w:sz="2" w:space="0" w:color="D3D3D3"/>
              <w:right w:val="single" w:sz="2" w:space="0" w:color="D3D3D3"/>
            </w:tcBorders>
            <w:shd w:val="clear" w:color="auto" w:fill="F2F4F7"/>
          </w:tcPr>
          <w:p w14:paraId="03C78806" w14:textId="77777777" w:rsidR="00DE0C06" w:rsidRDefault="007C211D">
            <w:pPr>
              <w:ind w:left="120" w:firstLine="0"/>
            </w:pPr>
            <w:r>
              <w:t>Metric</w:t>
            </w:r>
          </w:p>
        </w:tc>
        <w:tc>
          <w:tcPr>
            <w:tcW w:w="4535" w:type="dxa"/>
            <w:tcBorders>
              <w:top w:val="single" w:sz="2" w:space="0" w:color="D3D3D3"/>
              <w:left w:val="single" w:sz="2" w:space="0" w:color="D3D3D3"/>
              <w:bottom w:val="single" w:sz="2" w:space="0" w:color="D3D3D3"/>
              <w:right w:val="single" w:sz="2" w:space="0" w:color="D3D3D3"/>
            </w:tcBorders>
            <w:shd w:val="clear" w:color="auto" w:fill="F2F4F7"/>
          </w:tcPr>
          <w:p w14:paraId="18BA130B" w14:textId="77777777" w:rsidR="00DE0C06" w:rsidRDefault="007C211D">
            <w:pPr>
              <w:ind w:left="120" w:firstLine="0"/>
            </w:pPr>
            <w:r>
              <w:t>Observation</w:t>
            </w:r>
          </w:p>
        </w:tc>
      </w:tr>
      <w:tr w:rsidR="00DE0C06" w14:paraId="719D6E75" w14:textId="77777777">
        <w:trPr>
          <w:trHeight w:val="360"/>
        </w:trPr>
        <w:tc>
          <w:tcPr>
            <w:tcW w:w="4819" w:type="dxa"/>
            <w:tcBorders>
              <w:top w:val="single" w:sz="2" w:space="0" w:color="D3D3D3"/>
              <w:left w:val="single" w:sz="2" w:space="0" w:color="D3D3D3"/>
              <w:bottom w:val="single" w:sz="2" w:space="0" w:color="D3D3D3"/>
              <w:right w:val="single" w:sz="2" w:space="0" w:color="D3D3D3"/>
            </w:tcBorders>
            <w:shd w:val="clear" w:color="auto" w:fill="FFFFFF"/>
          </w:tcPr>
          <w:p w14:paraId="0740D86B" w14:textId="77777777" w:rsidR="00DE0C06" w:rsidRDefault="007C211D">
            <w:pPr>
              <w:ind w:left="120" w:firstLine="0"/>
            </w:pPr>
            <w:r>
              <w:t>EBIT margin trajectorySettles in mid-teens by the outer years; upside</w:t>
            </w:r>
          </w:p>
        </w:tc>
        <w:tc>
          <w:tcPr>
            <w:tcW w:w="4535" w:type="dxa"/>
            <w:tcBorders>
              <w:top w:val="single" w:sz="2" w:space="0" w:color="D3D3D3"/>
              <w:left w:val="single" w:sz="2" w:space="0" w:color="D3D3D3"/>
              <w:bottom w:val="single" w:sz="2" w:space="0" w:color="D3D3D3"/>
              <w:right w:val="single" w:sz="2" w:space="0" w:color="D3D3D3"/>
            </w:tcBorders>
            <w:shd w:val="clear" w:color="auto" w:fill="FFFFFF"/>
          </w:tcPr>
          <w:p w14:paraId="5DBB32EC" w14:textId="77777777" w:rsidR="00DE0C06" w:rsidRDefault="007C211D">
            <w:pPr>
              <w:ind w:left="-14" w:firstLine="0"/>
            </w:pPr>
            <w:r>
              <w:t xml:space="preserve"> if Orthopaedics normalises and mix improves.</w:t>
            </w:r>
          </w:p>
        </w:tc>
      </w:tr>
      <w:tr w:rsidR="00DE0C06" w14:paraId="09EF9E18" w14:textId="77777777">
        <w:trPr>
          <w:trHeight w:val="360"/>
        </w:trPr>
        <w:tc>
          <w:tcPr>
            <w:tcW w:w="4819" w:type="dxa"/>
            <w:tcBorders>
              <w:top w:val="single" w:sz="2" w:space="0" w:color="D3D3D3"/>
              <w:left w:val="single" w:sz="2" w:space="0" w:color="D3D3D3"/>
              <w:bottom w:val="single" w:sz="2" w:space="0" w:color="D3D3D3"/>
              <w:right w:val="single" w:sz="2" w:space="0" w:color="D3D3D3"/>
            </w:tcBorders>
            <w:shd w:val="clear" w:color="auto" w:fill="FBFDFF"/>
          </w:tcPr>
          <w:p w14:paraId="3FA37FD5" w14:textId="77777777" w:rsidR="00DE0C06" w:rsidRDefault="007C211D">
            <w:pPr>
              <w:ind w:left="120" w:firstLine="0"/>
            </w:pPr>
            <w:r>
              <w:t>Capex as % of sales</w:t>
            </w:r>
          </w:p>
        </w:tc>
        <w:tc>
          <w:tcPr>
            <w:tcW w:w="4535" w:type="dxa"/>
            <w:tcBorders>
              <w:top w:val="single" w:sz="2" w:space="0" w:color="D3D3D3"/>
              <w:left w:val="single" w:sz="2" w:space="0" w:color="D3D3D3"/>
              <w:bottom w:val="single" w:sz="2" w:space="0" w:color="D3D3D3"/>
              <w:right w:val="single" w:sz="2" w:space="0" w:color="D3D3D3"/>
            </w:tcBorders>
            <w:shd w:val="clear" w:color="auto" w:fill="FBFDFF"/>
          </w:tcPr>
          <w:p w14:paraId="7E6BD5A2" w14:textId="77777777" w:rsidR="00DE0C06" w:rsidRDefault="007C211D">
            <w:pPr>
              <w:ind w:left="502" w:firstLine="0"/>
            </w:pPr>
            <w:r>
              <w:t>Around -7.7% through the explicit period.</w:t>
            </w:r>
          </w:p>
        </w:tc>
      </w:tr>
      <w:tr w:rsidR="00DE0C06" w14:paraId="14979CB1" w14:textId="77777777">
        <w:trPr>
          <w:trHeight w:val="360"/>
        </w:trPr>
        <w:tc>
          <w:tcPr>
            <w:tcW w:w="4819" w:type="dxa"/>
            <w:tcBorders>
              <w:top w:val="single" w:sz="2" w:space="0" w:color="D3D3D3"/>
              <w:left w:val="single" w:sz="2" w:space="0" w:color="D3D3D3"/>
              <w:bottom w:val="single" w:sz="2" w:space="0" w:color="D3D3D3"/>
              <w:right w:val="single" w:sz="2" w:space="0" w:color="D3D3D3"/>
            </w:tcBorders>
            <w:shd w:val="clear" w:color="auto" w:fill="FFFFFF"/>
          </w:tcPr>
          <w:p w14:paraId="4890A41C" w14:textId="77777777" w:rsidR="00DE0C06" w:rsidRDefault="007C211D">
            <w:pPr>
              <w:ind w:left="120" w:firstLine="0"/>
            </w:pPr>
            <w:r>
              <w:t>D and A as % of sales</w:t>
            </w:r>
          </w:p>
        </w:tc>
        <w:tc>
          <w:tcPr>
            <w:tcW w:w="4535" w:type="dxa"/>
            <w:tcBorders>
              <w:top w:val="single" w:sz="2" w:space="0" w:color="D3D3D3"/>
              <w:left w:val="single" w:sz="2" w:space="0" w:color="D3D3D3"/>
              <w:bottom w:val="single" w:sz="2" w:space="0" w:color="D3D3D3"/>
              <w:right w:val="single" w:sz="2" w:space="0" w:color="D3D3D3"/>
            </w:tcBorders>
            <w:shd w:val="clear" w:color="auto" w:fill="FFFFFF"/>
          </w:tcPr>
          <w:p w14:paraId="6FF49226" w14:textId="77777777" w:rsidR="00DE0C06" w:rsidRDefault="007C211D">
            <w:pPr>
              <w:ind w:left="-87" w:firstLine="0"/>
            </w:pPr>
            <w:r>
              <w:t>Around 7.7%; broadly offsets sustaining capex.</w:t>
            </w:r>
          </w:p>
        </w:tc>
      </w:tr>
      <w:tr w:rsidR="00DE0C06" w14:paraId="6156ECC6" w14:textId="77777777">
        <w:trPr>
          <w:trHeight w:val="360"/>
        </w:trPr>
        <w:tc>
          <w:tcPr>
            <w:tcW w:w="4819" w:type="dxa"/>
            <w:tcBorders>
              <w:top w:val="single" w:sz="2" w:space="0" w:color="D3D3D3"/>
              <w:left w:val="single" w:sz="2" w:space="0" w:color="D3D3D3"/>
              <w:bottom w:val="single" w:sz="2" w:space="0" w:color="D3D3D3"/>
              <w:right w:val="single" w:sz="2" w:space="0" w:color="D3D3D3"/>
            </w:tcBorders>
            <w:shd w:val="clear" w:color="auto" w:fill="FBFDFF"/>
          </w:tcPr>
          <w:p w14:paraId="1762E089" w14:textId="77777777" w:rsidR="00DE0C06" w:rsidRDefault="007C211D">
            <w:pPr>
              <w:ind w:left="120" w:firstLine="0"/>
            </w:pPr>
            <w:r>
              <w:t>Change in NWC as % of sales</w:t>
            </w:r>
          </w:p>
        </w:tc>
        <w:tc>
          <w:tcPr>
            <w:tcW w:w="4535" w:type="dxa"/>
            <w:tcBorders>
              <w:top w:val="single" w:sz="2" w:space="0" w:color="D3D3D3"/>
              <w:left w:val="single" w:sz="2" w:space="0" w:color="D3D3D3"/>
              <w:bottom w:val="single" w:sz="2" w:space="0" w:color="D3D3D3"/>
              <w:right w:val="single" w:sz="2" w:space="0" w:color="D3D3D3"/>
            </w:tcBorders>
            <w:shd w:val="clear" w:color="auto" w:fill="FBFDFF"/>
          </w:tcPr>
          <w:p w14:paraId="474C9E04" w14:textId="77777777" w:rsidR="00DE0C06" w:rsidRDefault="007C211D">
            <w:pPr>
              <w:ind w:left="0" w:right="106" w:firstLine="0"/>
              <w:jc w:val="right"/>
            </w:pPr>
            <w:r>
              <w:t>Improves from -2.4% to -1.9%.</w:t>
            </w:r>
          </w:p>
        </w:tc>
      </w:tr>
      <w:tr w:rsidR="00DE0C06" w14:paraId="0CF486CA" w14:textId="77777777">
        <w:trPr>
          <w:trHeight w:val="360"/>
        </w:trPr>
        <w:tc>
          <w:tcPr>
            <w:tcW w:w="4819" w:type="dxa"/>
            <w:tcBorders>
              <w:top w:val="single" w:sz="2" w:space="0" w:color="D3D3D3"/>
              <w:left w:val="single" w:sz="2" w:space="0" w:color="D3D3D3"/>
              <w:bottom w:val="single" w:sz="2" w:space="0" w:color="D3D3D3"/>
              <w:right w:val="single" w:sz="2" w:space="0" w:color="D3D3D3"/>
            </w:tcBorders>
            <w:shd w:val="clear" w:color="auto" w:fill="FFFFFF"/>
          </w:tcPr>
          <w:p w14:paraId="5EC6424B" w14:textId="77777777" w:rsidR="00DE0C06" w:rsidRDefault="007C211D">
            <w:pPr>
              <w:ind w:left="120" w:firstLine="0"/>
            </w:pPr>
            <w:r>
              <w:t>FCF yield on EV</w:t>
            </w:r>
          </w:p>
        </w:tc>
        <w:tc>
          <w:tcPr>
            <w:tcW w:w="4535" w:type="dxa"/>
            <w:tcBorders>
              <w:top w:val="single" w:sz="2" w:space="0" w:color="D3D3D3"/>
              <w:left w:val="single" w:sz="2" w:space="0" w:color="D3D3D3"/>
              <w:bottom w:val="single" w:sz="2" w:space="0" w:color="D3D3D3"/>
              <w:right w:val="single" w:sz="2" w:space="0" w:color="D3D3D3"/>
            </w:tcBorders>
            <w:shd w:val="clear" w:color="auto" w:fill="FFFFFF"/>
          </w:tcPr>
          <w:p w14:paraId="76EA1354" w14:textId="77777777" w:rsidR="00DE0C06" w:rsidRDefault="007C211D">
            <w:pPr>
              <w:ind w:left="0" w:right="106" w:firstLine="0"/>
              <w:jc w:val="right"/>
            </w:pPr>
            <w:r>
              <w:t>3.1% rising to 4.2% by 2029.</w:t>
            </w:r>
          </w:p>
        </w:tc>
      </w:tr>
    </w:tbl>
    <w:p w14:paraId="1BE39DDF" w14:textId="77777777" w:rsidR="00DE0C06" w:rsidRDefault="007C211D">
      <w:pPr>
        <w:ind w:left="390" w:firstLine="0"/>
      </w:pPr>
      <w:r>
        <w:rPr>
          <w:noProof/>
        </w:rPr>
        <w:lastRenderedPageBreak/>
        <w:drawing>
          <wp:inline distT="0" distB="0" distL="0" distR="0" wp14:anchorId="5AF98EB9" wp14:editId="32E5320A">
            <wp:extent cx="5760000" cy="2880001"/>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5760000" cy="2880001"/>
                    </a:xfrm>
                    <a:prstGeom prst="rect">
                      <a:avLst/>
                    </a:prstGeom>
                  </pic:spPr>
                </pic:pic>
              </a:graphicData>
            </a:graphic>
          </wp:inline>
        </w:drawing>
      </w:r>
    </w:p>
    <w:p w14:paraId="062C271E" w14:textId="77777777" w:rsidR="00DE0C06" w:rsidRDefault="00DE0C06">
      <w:pPr>
        <w:sectPr w:rsidR="00DE0C06">
          <w:headerReference w:type="even" r:id="rId8"/>
          <w:headerReference w:type="default" r:id="rId9"/>
          <w:headerReference w:type="first" r:id="rId10"/>
          <w:pgSz w:w="11906" w:h="16838"/>
          <w:pgMar w:top="981" w:right="1027" w:bottom="3317" w:left="1027" w:header="720" w:footer="720" w:gutter="0"/>
          <w:cols w:space="720"/>
        </w:sectPr>
      </w:pPr>
    </w:p>
    <w:p w14:paraId="66E558BA" w14:textId="77777777" w:rsidR="00DE0C06" w:rsidRDefault="007C211D">
      <w:pPr>
        <w:ind w:left="-23" w:right="-23" w:firstLine="0"/>
      </w:pPr>
      <w:r>
        <w:rPr>
          <w:noProof/>
        </w:rPr>
        <w:lastRenderedPageBreak/>
        <w:drawing>
          <wp:inline distT="0" distB="0" distL="0" distR="0" wp14:anchorId="1DBD7384" wp14:editId="0805462E">
            <wp:extent cx="5760000" cy="2880001"/>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1"/>
                    <a:stretch>
                      <a:fillRect/>
                    </a:stretch>
                  </pic:blipFill>
                  <pic:spPr>
                    <a:xfrm>
                      <a:off x="0" y="0"/>
                      <a:ext cx="5760000" cy="2880001"/>
                    </a:xfrm>
                    <a:prstGeom prst="rect">
                      <a:avLst/>
                    </a:prstGeom>
                  </pic:spPr>
                </pic:pic>
              </a:graphicData>
            </a:graphic>
          </wp:inline>
        </w:drawing>
      </w:r>
    </w:p>
    <w:p w14:paraId="0789C592" w14:textId="77777777" w:rsidR="00DE0C06" w:rsidRDefault="00DE0C06">
      <w:pPr>
        <w:sectPr w:rsidR="00DE0C06">
          <w:headerReference w:type="even" r:id="rId12"/>
          <w:headerReference w:type="default" r:id="rId13"/>
          <w:headerReference w:type="first" r:id="rId14"/>
          <w:pgSz w:w="11906" w:h="16838"/>
          <w:pgMar w:top="857" w:right="1440" w:bottom="1440" w:left="1440" w:header="720" w:footer="720" w:gutter="0"/>
          <w:cols w:space="720"/>
        </w:sectPr>
      </w:pPr>
    </w:p>
    <w:p w14:paraId="4B6D1807" w14:textId="77777777" w:rsidR="00DE0C06" w:rsidRDefault="007C211D">
      <w:pPr>
        <w:pStyle w:val="Heading1"/>
        <w:ind w:left="262"/>
      </w:pPr>
      <w:r>
        <w:lastRenderedPageBreak/>
        <w:t>DCF valuation - assumptions and rationale</w:t>
      </w:r>
    </w:p>
    <w:p w14:paraId="333FA1E8" w14:textId="77777777" w:rsidR="00DE0C06" w:rsidRDefault="007C211D">
      <w:pPr>
        <w:ind w:left="-5"/>
      </w:pPr>
      <w:r>
        <w:t>Enterprise value of GBP 19,999m and equity value of GBP 17,013m translate to GBP 19.42 per ordinary and GBP 38.84 per ADR. Terminal value contributes about 85% of EV. WACC 5.80% is built from a risk free 4.10%, beta 0.67 and ERP 3.80%. Terminal growth of 2.00% is conservative against long-run nominal GDP.</w:t>
      </w:r>
    </w:p>
    <w:tbl>
      <w:tblPr>
        <w:tblStyle w:val="TableGrid"/>
        <w:tblW w:w="9865" w:type="dxa"/>
        <w:tblInd w:w="0" w:type="dxa"/>
        <w:tblCellMar>
          <w:top w:w="121" w:type="dxa"/>
          <w:left w:w="0" w:type="dxa"/>
          <w:bottom w:w="0" w:type="dxa"/>
          <w:right w:w="92" w:type="dxa"/>
        </w:tblCellMar>
        <w:tblLook w:val="04A0" w:firstRow="1" w:lastRow="0" w:firstColumn="1" w:lastColumn="0" w:noHBand="0" w:noVBand="1"/>
      </w:tblPr>
      <w:tblGrid>
        <w:gridCol w:w="1702"/>
        <w:gridCol w:w="1362"/>
        <w:gridCol w:w="880"/>
        <w:gridCol w:w="480"/>
        <w:gridCol w:w="880"/>
        <w:gridCol w:w="480"/>
        <w:gridCol w:w="880"/>
        <w:gridCol w:w="480"/>
        <w:gridCol w:w="880"/>
        <w:gridCol w:w="480"/>
        <w:gridCol w:w="1361"/>
      </w:tblGrid>
      <w:tr w:rsidR="00DE0C06" w14:paraId="045E5416"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2F4F7"/>
          </w:tcPr>
          <w:p w14:paraId="2B330132" w14:textId="77777777" w:rsidR="00DE0C06" w:rsidRDefault="007C211D">
            <w:pPr>
              <w:ind w:left="120" w:firstLine="0"/>
            </w:pPr>
            <w:r>
              <w:t>Year</w:t>
            </w:r>
          </w:p>
        </w:tc>
        <w:tc>
          <w:tcPr>
            <w:tcW w:w="1361" w:type="dxa"/>
            <w:tcBorders>
              <w:top w:val="single" w:sz="2" w:space="0" w:color="D3D3D3"/>
              <w:left w:val="single" w:sz="2" w:space="0" w:color="D3D3D3"/>
              <w:bottom w:val="single" w:sz="2" w:space="0" w:color="D3D3D3"/>
              <w:right w:val="single" w:sz="2" w:space="0" w:color="D3D3D3"/>
            </w:tcBorders>
            <w:shd w:val="clear" w:color="auto" w:fill="F2F4F7"/>
          </w:tcPr>
          <w:p w14:paraId="5EC1B2AE" w14:textId="77777777" w:rsidR="00DE0C06" w:rsidRDefault="007C211D">
            <w:pPr>
              <w:ind w:left="120" w:firstLine="0"/>
            </w:pPr>
            <w:r>
              <w:t>2025</w:t>
            </w:r>
          </w:p>
        </w:tc>
        <w:tc>
          <w:tcPr>
            <w:tcW w:w="880" w:type="dxa"/>
            <w:tcBorders>
              <w:top w:val="single" w:sz="2" w:space="0" w:color="D3D3D3"/>
              <w:left w:val="single" w:sz="2" w:space="0" w:color="D3D3D3"/>
              <w:bottom w:val="single" w:sz="2" w:space="0" w:color="D3D3D3"/>
              <w:right w:val="nil"/>
            </w:tcBorders>
            <w:shd w:val="clear" w:color="auto" w:fill="F2F4F7"/>
          </w:tcPr>
          <w:p w14:paraId="47F09D0B" w14:textId="77777777" w:rsidR="00DE0C06" w:rsidRDefault="007C211D">
            <w:pPr>
              <w:ind w:left="120" w:firstLine="0"/>
            </w:pPr>
            <w:r>
              <w:t>2026</w:t>
            </w:r>
          </w:p>
        </w:tc>
        <w:tc>
          <w:tcPr>
            <w:tcW w:w="480" w:type="dxa"/>
            <w:tcBorders>
              <w:top w:val="single" w:sz="2" w:space="0" w:color="D3D3D3"/>
              <w:left w:val="nil"/>
              <w:bottom w:val="single" w:sz="2" w:space="0" w:color="D3D3D3"/>
              <w:right w:val="single" w:sz="2" w:space="0" w:color="D3D3D3"/>
            </w:tcBorders>
            <w:shd w:val="clear" w:color="auto" w:fill="F2F4F7"/>
          </w:tcPr>
          <w:p w14:paraId="74C5950C" w14:textId="77777777" w:rsidR="00DE0C06" w:rsidRDefault="00DE0C06">
            <w:pPr>
              <w:spacing w:after="160"/>
              <w:ind w:left="0" w:firstLine="0"/>
            </w:pPr>
          </w:p>
        </w:tc>
        <w:tc>
          <w:tcPr>
            <w:tcW w:w="880" w:type="dxa"/>
            <w:tcBorders>
              <w:top w:val="single" w:sz="2" w:space="0" w:color="D3D3D3"/>
              <w:left w:val="single" w:sz="2" w:space="0" w:color="D3D3D3"/>
              <w:bottom w:val="single" w:sz="2" w:space="0" w:color="D3D3D3"/>
              <w:right w:val="nil"/>
            </w:tcBorders>
            <w:shd w:val="clear" w:color="auto" w:fill="F2F4F7"/>
          </w:tcPr>
          <w:p w14:paraId="5AF3D655" w14:textId="77777777" w:rsidR="00DE0C06" w:rsidRDefault="007C211D">
            <w:pPr>
              <w:ind w:left="120" w:firstLine="0"/>
            </w:pPr>
            <w:r>
              <w:t>2027</w:t>
            </w:r>
          </w:p>
        </w:tc>
        <w:tc>
          <w:tcPr>
            <w:tcW w:w="480" w:type="dxa"/>
            <w:tcBorders>
              <w:top w:val="single" w:sz="2" w:space="0" w:color="D3D3D3"/>
              <w:left w:val="nil"/>
              <w:bottom w:val="single" w:sz="2" w:space="0" w:color="D3D3D3"/>
              <w:right w:val="single" w:sz="2" w:space="0" w:color="D3D3D3"/>
            </w:tcBorders>
            <w:shd w:val="clear" w:color="auto" w:fill="F2F4F7"/>
          </w:tcPr>
          <w:p w14:paraId="57726726" w14:textId="77777777" w:rsidR="00DE0C06" w:rsidRDefault="00DE0C06">
            <w:pPr>
              <w:spacing w:after="160"/>
              <w:ind w:left="0" w:firstLine="0"/>
            </w:pPr>
          </w:p>
        </w:tc>
        <w:tc>
          <w:tcPr>
            <w:tcW w:w="880" w:type="dxa"/>
            <w:tcBorders>
              <w:top w:val="single" w:sz="2" w:space="0" w:color="D3D3D3"/>
              <w:left w:val="single" w:sz="2" w:space="0" w:color="D3D3D3"/>
              <w:bottom w:val="single" w:sz="2" w:space="0" w:color="D3D3D3"/>
              <w:right w:val="nil"/>
            </w:tcBorders>
            <w:shd w:val="clear" w:color="auto" w:fill="F2F4F7"/>
          </w:tcPr>
          <w:p w14:paraId="5AEC08B3" w14:textId="77777777" w:rsidR="00DE0C06" w:rsidRDefault="007C211D">
            <w:pPr>
              <w:ind w:left="120" w:firstLine="0"/>
            </w:pPr>
            <w:r>
              <w:t>2028</w:t>
            </w:r>
          </w:p>
        </w:tc>
        <w:tc>
          <w:tcPr>
            <w:tcW w:w="480" w:type="dxa"/>
            <w:tcBorders>
              <w:top w:val="single" w:sz="2" w:space="0" w:color="D3D3D3"/>
              <w:left w:val="nil"/>
              <w:bottom w:val="single" w:sz="2" w:space="0" w:color="D3D3D3"/>
              <w:right w:val="single" w:sz="2" w:space="0" w:color="D3D3D3"/>
            </w:tcBorders>
            <w:shd w:val="clear" w:color="auto" w:fill="F2F4F7"/>
          </w:tcPr>
          <w:p w14:paraId="2C16AA72" w14:textId="77777777" w:rsidR="00DE0C06" w:rsidRDefault="00DE0C06">
            <w:pPr>
              <w:spacing w:after="160"/>
              <w:ind w:left="0" w:firstLine="0"/>
            </w:pPr>
          </w:p>
        </w:tc>
        <w:tc>
          <w:tcPr>
            <w:tcW w:w="880" w:type="dxa"/>
            <w:tcBorders>
              <w:top w:val="single" w:sz="2" w:space="0" w:color="D3D3D3"/>
              <w:left w:val="single" w:sz="2" w:space="0" w:color="D3D3D3"/>
              <w:bottom w:val="single" w:sz="2" w:space="0" w:color="D3D3D3"/>
              <w:right w:val="nil"/>
            </w:tcBorders>
            <w:shd w:val="clear" w:color="auto" w:fill="F2F4F7"/>
          </w:tcPr>
          <w:p w14:paraId="7C95B512" w14:textId="77777777" w:rsidR="00DE0C06" w:rsidRDefault="007C211D">
            <w:pPr>
              <w:ind w:left="120" w:firstLine="0"/>
            </w:pPr>
            <w:r>
              <w:t>2029</w:t>
            </w:r>
          </w:p>
        </w:tc>
        <w:tc>
          <w:tcPr>
            <w:tcW w:w="480" w:type="dxa"/>
            <w:tcBorders>
              <w:top w:val="single" w:sz="2" w:space="0" w:color="D3D3D3"/>
              <w:left w:val="nil"/>
              <w:bottom w:val="single" w:sz="2" w:space="0" w:color="D3D3D3"/>
              <w:right w:val="single" w:sz="2" w:space="0" w:color="D3D3D3"/>
            </w:tcBorders>
            <w:shd w:val="clear" w:color="auto" w:fill="F2F4F7"/>
          </w:tcPr>
          <w:p w14:paraId="165075B1" w14:textId="77777777" w:rsidR="00DE0C06" w:rsidRDefault="00DE0C06">
            <w:pPr>
              <w:spacing w:after="160"/>
              <w:ind w:left="0" w:firstLine="0"/>
            </w:pPr>
          </w:p>
        </w:tc>
        <w:tc>
          <w:tcPr>
            <w:tcW w:w="1361" w:type="dxa"/>
            <w:tcBorders>
              <w:top w:val="single" w:sz="2" w:space="0" w:color="D3D3D3"/>
              <w:left w:val="single" w:sz="2" w:space="0" w:color="D3D3D3"/>
              <w:bottom w:val="single" w:sz="2" w:space="0" w:color="D3D3D3"/>
              <w:right w:val="single" w:sz="2" w:space="0" w:color="D3D3D3"/>
            </w:tcBorders>
            <w:shd w:val="clear" w:color="auto" w:fill="F2F4F7"/>
          </w:tcPr>
          <w:p w14:paraId="27BFCE69" w14:textId="77777777" w:rsidR="00DE0C06" w:rsidRDefault="007C211D">
            <w:pPr>
              <w:ind w:left="120" w:firstLine="0"/>
            </w:pPr>
            <w:r>
              <w:t>Terminal</w:t>
            </w:r>
          </w:p>
        </w:tc>
      </w:tr>
      <w:tr w:rsidR="00DE0C06" w14:paraId="4BCC920E"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FFFFF"/>
          </w:tcPr>
          <w:p w14:paraId="31CC7D7A" w14:textId="77777777" w:rsidR="00DE0C06" w:rsidRDefault="007C211D">
            <w:pPr>
              <w:ind w:left="120" w:firstLine="0"/>
            </w:pPr>
            <w:r>
              <w:t xml:space="preserve">FCF (nominal, </w:t>
            </w:r>
          </w:p>
        </w:tc>
        <w:tc>
          <w:tcPr>
            <w:tcW w:w="1361" w:type="dxa"/>
            <w:tcBorders>
              <w:top w:val="single" w:sz="2" w:space="0" w:color="D3D3D3"/>
              <w:left w:val="single" w:sz="2" w:space="0" w:color="D3D3D3"/>
              <w:bottom w:val="single" w:sz="2" w:space="0" w:color="D3D3D3"/>
              <w:right w:val="single" w:sz="2" w:space="0" w:color="D3D3D3"/>
            </w:tcBorders>
            <w:shd w:val="clear" w:color="auto" w:fill="FFFFFF"/>
          </w:tcPr>
          <w:p w14:paraId="0CF66E9D" w14:textId="77777777" w:rsidR="00DE0C06" w:rsidRDefault="007C211D">
            <w:pPr>
              <w:tabs>
                <w:tab w:val="right" w:pos="1269"/>
              </w:tabs>
              <w:ind w:left="-153" w:firstLine="0"/>
            </w:pPr>
            <w:r>
              <w:t>GBP m)</w:t>
            </w:r>
            <w:r>
              <w:tab/>
              <w:t>622</w:t>
            </w:r>
          </w:p>
        </w:tc>
        <w:tc>
          <w:tcPr>
            <w:tcW w:w="880" w:type="dxa"/>
            <w:tcBorders>
              <w:top w:val="single" w:sz="2" w:space="0" w:color="D3D3D3"/>
              <w:left w:val="single" w:sz="2" w:space="0" w:color="D3D3D3"/>
              <w:bottom w:val="single" w:sz="2" w:space="0" w:color="D3D3D3"/>
              <w:right w:val="nil"/>
            </w:tcBorders>
            <w:shd w:val="clear" w:color="auto" w:fill="FFFFFF"/>
          </w:tcPr>
          <w:p w14:paraId="64FE46D6"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FFFFF"/>
          </w:tcPr>
          <w:p w14:paraId="09F07CBA" w14:textId="77777777" w:rsidR="00DE0C06" w:rsidRDefault="007C211D">
            <w:pPr>
              <w:ind w:left="0" w:firstLine="0"/>
              <w:jc w:val="both"/>
            </w:pPr>
            <w:r>
              <w:t>670</w:t>
            </w:r>
          </w:p>
        </w:tc>
        <w:tc>
          <w:tcPr>
            <w:tcW w:w="880" w:type="dxa"/>
            <w:tcBorders>
              <w:top w:val="single" w:sz="2" w:space="0" w:color="D3D3D3"/>
              <w:left w:val="single" w:sz="2" w:space="0" w:color="D3D3D3"/>
              <w:bottom w:val="single" w:sz="2" w:space="0" w:color="D3D3D3"/>
              <w:right w:val="nil"/>
            </w:tcBorders>
            <w:shd w:val="clear" w:color="auto" w:fill="FFFFFF"/>
          </w:tcPr>
          <w:p w14:paraId="69ED9E25"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FFFFF"/>
          </w:tcPr>
          <w:p w14:paraId="5BD8E295" w14:textId="77777777" w:rsidR="00DE0C06" w:rsidRDefault="007C211D">
            <w:pPr>
              <w:ind w:left="0" w:firstLine="0"/>
              <w:jc w:val="both"/>
            </w:pPr>
            <w:r>
              <w:t>722</w:t>
            </w:r>
          </w:p>
        </w:tc>
        <w:tc>
          <w:tcPr>
            <w:tcW w:w="880" w:type="dxa"/>
            <w:tcBorders>
              <w:top w:val="single" w:sz="2" w:space="0" w:color="D3D3D3"/>
              <w:left w:val="single" w:sz="2" w:space="0" w:color="D3D3D3"/>
              <w:bottom w:val="single" w:sz="2" w:space="0" w:color="D3D3D3"/>
              <w:right w:val="nil"/>
            </w:tcBorders>
            <w:shd w:val="clear" w:color="auto" w:fill="FFFFFF"/>
          </w:tcPr>
          <w:p w14:paraId="2A79529C"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FFFFF"/>
          </w:tcPr>
          <w:p w14:paraId="0B62F468" w14:textId="77777777" w:rsidR="00DE0C06" w:rsidRDefault="007C211D">
            <w:pPr>
              <w:ind w:left="0" w:firstLine="0"/>
              <w:jc w:val="both"/>
            </w:pPr>
            <w:r>
              <w:t>777</w:t>
            </w:r>
          </w:p>
        </w:tc>
        <w:tc>
          <w:tcPr>
            <w:tcW w:w="880" w:type="dxa"/>
            <w:tcBorders>
              <w:top w:val="single" w:sz="2" w:space="0" w:color="D3D3D3"/>
              <w:left w:val="single" w:sz="2" w:space="0" w:color="D3D3D3"/>
              <w:bottom w:val="single" w:sz="2" w:space="0" w:color="D3D3D3"/>
              <w:right w:val="nil"/>
            </w:tcBorders>
            <w:shd w:val="clear" w:color="auto" w:fill="FFFFFF"/>
          </w:tcPr>
          <w:p w14:paraId="6E46E310"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FFFFF"/>
          </w:tcPr>
          <w:p w14:paraId="3081E03D" w14:textId="77777777" w:rsidR="00DE0C06" w:rsidRDefault="007C211D">
            <w:pPr>
              <w:ind w:left="0" w:firstLine="0"/>
              <w:jc w:val="both"/>
            </w:pPr>
            <w:r>
              <w:t>837</w:t>
            </w:r>
          </w:p>
        </w:tc>
        <w:tc>
          <w:tcPr>
            <w:tcW w:w="1361" w:type="dxa"/>
            <w:tcBorders>
              <w:top w:val="single" w:sz="2" w:space="0" w:color="D3D3D3"/>
              <w:left w:val="single" w:sz="2" w:space="0" w:color="D3D3D3"/>
              <w:bottom w:val="single" w:sz="2" w:space="0" w:color="D3D3D3"/>
              <w:right w:val="single" w:sz="2" w:space="0" w:color="D3D3D3"/>
            </w:tcBorders>
            <w:shd w:val="clear" w:color="auto" w:fill="FFFFFF"/>
          </w:tcPr>
          <w:p w14:paraId="01844EB8" w14:textId="77777777" w:rsidR="00DE0C06" w:rsidRDefault="007C211D">
            <w:pPr>
              <w:ind w:left="0" w:right="28" w:firstLine="0"/>
              <w:jc w:val="right"/>
            </w:pPr>
            <w:r>
              <w:t>-</w:t>
            </w:r>
          </w:p>
        </w:tc>
      </w:tr>
      <w:tr w:rsidR="00DE0C06" w14:paraId="2A0EF682"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BFDFF"/>
          </w:tcPr>
          <w:p w14:paraId="020BF92F" w14:textId="77777777" w:rsidR="00DE0C06" w:rsidRDefault="007C211D">
            <w:pPr>
              <w:ind w:left="120" w:firstLine="0"/>
            </w:pPr>
            <w:r>
              <w:t>PV of cash flow</w:t>
            </w:r>
          </w:p>
        </w:tc>
        <w:tc>
          <w:tcPr>
            <w:tcW w:w="1361" w:type="dxa"/>
            <w:tcBorders>
              <w:top w:val="single" w:sz="2" w:space="0" w:color="D3D3D3"/>
              <w:left w:val="single" w:sz="2" w:space="0" w:color="D3D3D3"/>
              <w:bottom w:val="single" w:sz="2" w:space="0" w:color="D3D3D3"/>
              <w:right w:val="single" w:sz="2" w:space="0" w:color="D3D3D3"/>
            </w:tcBorders>
            <w:shd w:val="clear" w:color="auto" w:fill="FBFDFF"/>
          </w:tcPr>
          <w:p w14:paraId="206333B4" w14:textId="77777777" w:rsidR="00DE0C06" w:rsidRDefault="007C211D">
            <w:pPr>
              <w:ind w:left="-92" w:firstLine="0"/>
            </w:pPr>
            <w:r>
              <w:t>s (GBP m)588</w:t>
            </w:r>
          </w:p>
        </w:tc>
        <w:tc>
          <w:tcPr>
            <w:tcW w:w="880" w:type="dxa"/>
            <w:tcBorders>
              <w:top w:val="single" w:sz="2" w:space="0" w:color="D3D3D3"/>
              <w:left w:val="single" w:sz="2" w:space="0" w:color="D3D3D3"/>
              <w:bottom w:val="single" w:sz="2" w:space="0" w:color="D3D3D3"/>
              <w:right w:val="nil"/>
            </w:tcBorders>
            <w:shd w:val="clear" w:color="auto" w:fill="FBFDFF"/>
          </w:tcPr>
          <w:p w14:paraId="18C339A4"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BFDFF"/>
          </w:tcPr>
          <w:p w14:paraId="14870A5E" w14:textId="77777777" w:rsidR="00DE0C06" w:rsidRDefault="007C211D">
            <w:pPr>
              <w:ind w:left="0" w:firstLine="0"/>
              <w:jc w:val="both"/>
            </w:pPr>
            <w:r>
              <w:t>599</w:t>
            </w:r>
          </w:p>
        </w:tc>
        <w:tc>
          <w:tcPr>
            <w:tcW w:w="880" w:type="dxa"/>
            <w:tcBorders>
              <w:top w:val="single" w:sz="2" w:space="0" w:color="D3D3D3"/>
              <w:left w:val="single" w:sz="2" w:space="0" w:color="D3D3D3"/>
              <w:bottom w:val="single" w:sz="2" w:space="0" w:color="D3D3D3"/>
              <w:right w:val="nil"/>
            </w:tcBorders>
            <w:shd w:val="clear" w:color="auto" w:fill="FBFDFF"/>
          </w:tcPr>
          <w:p w14:paraId="1BA57E0F"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BFDFF"/>
          </w:tcPr>
          <w:p w14:paraId="36E1CAFC" w14:textId="77777777" w:rsidR="00DE0C06" w:rsidRDefault="007C211D">
            <w:pPr>
              <w:ind w:left="0" w:firstLine="0"/>
              <w:jc w:val="both"/>
            </w:pPr>
            <w:r>
              <w:t>610</w:t>
            </w:r>
          </w:p>
        </w:tc>
        <w:tc>
          <w:tcPr>
            <w:tcW w:w="880" w:type="dxa"/>
            <w:tcBorders>
              <w:top w:val="single" w:sz="2" w:space="0" w:color="D3D3D3"/>
              <w:left w:val="single" w:sz="2" w:space="0" w:color="D3D3D3"/>
              <w:bottom w:val="single" w:sz="2" w:space="0" w:color="D3D3D3"/>
              <w:right w:val="nil"/>
            </w:tcBorders>
            <w:shd w:val="clear" w:color="auto" w:fill="FBFDFF"/>
          </w:tcPr>
          <w:p w14:paraId="0F34EE9B"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BFDFF"/>
          </w:tcPr>
          <w:p w14:paraId="7CB2679A" w14:textId="77777777" w:rsidR="00DE0C06" w:rsidRDefault="007C211D">
            <w:pPr>
              <w:ind w:left="0" w:firstLine="0"/>
              <w:jc w:val="both"/>
            </w:pPr>
            <w:r>
              <w:t>621</w:t>
            </w:r>
          </w:p>
        </w:tc>
        <w:tc>
          <w:tcPr>
            <w:tcW w:w="880" w:type="dxa"/>
            <w:tcBorders>
              <w:top w:val="single" w:sz="2" w:space="0" w:color="D3D3D3"/>
              <w:left w:val="single" w:sz="2" w:space="0" w:color="D3D3D3"/>
              <w:bottom w:val="single" w:sz="2" w:space="0" w:color="D3D3D3"/>
              <w:right w:val="nil"/>
            </w:tcBorders>
            <w:shd w:val="clear" w:color="auto" w:fill="FBFDFF"/>
          </w:tcPr>
          <w:p w14:paraId="633D8118" w14:textId="77777777" w:rsidR="00DE0C06" w:rsidRDefault="00DE0C06">
            <w:pPr>
              <w:spacing w:after="160"/>
              <w:ind w:left="0" w:firstLine="0"/>
            </w:pPr>
          </w:p>
        </w:tc>
        <w:tc>
          <w:tcPr>
            <w:tcW w:w="480" w:type="dxa"/>
            <w:tcBorders>
              <w:top w:val="single" w:sz="2" w:space="0" w:color="D3D3D3"/>
              <w:left w:val="nil"/>
              <w:bottom w:val="single" w:sz="2" w:space="0" w:color="D3D3D3"/>
              <w:right w:val="single" w:sz="2" w:space="0" w:color="D3D3D3"/>
            </w:tcBorders>
            <w:shd w:val="clear" w:color="auto" w:fill="FBFDFF"/>
          </w:tcPr>
          <w:p w14:paraId="498E6330" w14:textId="77777777" w:rsidR="00DE0C06" w:rsidRDefault="007C211D">
            <w:pPr>
              <w:ind w:left="0" w:firstLine="0"/>
              <w:jc w:val="both"/>
            </w:pPr>
            <w:r>
              <w:t>631</w:t>
            </w:r>
          </w:p>
        </w:tc>
        <w:tc>
          <w:tcPr>
            <w:tcW w:w="1361" w:type="dxa"/>
            <w:tcBorders>
              <w:top w:val="single" w:sz="2" w:space="0" w:color="D3D3D3"/>
              <w:left w:val="single" w:sz="2" w:space="0" w:color="D3D3D3"/>
              <w:bottom w:val="single" w:sz="2" w:space="0" w:color="D3D3D3"/>
              <w:right w:val="single" w:sz="2" w:space="0" w:color="D3D3D3"/>
            </w:tcBorders>
            <w:shd w:val="clear" w:color="auto" w:fill="FBFDFF"/>
          </w:tcPr>
          <w:p w14:paraId="768010BC" w14:textId="77777777" w:rsidR="00DE0C06" w:rsidRDefault="007C211D">
            <w:pPr>
              <w:ind w:left="580" w:firstLine="0"/>
            </w:pPr>
            <w:r>
              <w:t>16,951</w:t>
            </w:r>
          </w:p>
        </w:tc>
      </w:tr>
    </w:tbl>
    <w:p w14:paraId="1B139698" w14:textId="77777777" w:rsidR="00DE0C06" w:rsidRDefault="007C211D">
      <w:r>
        <w:br w:type="page"/>
      </w:r>
    </w:p>
    <w:p w14:paraId="598515FD" w14:textId="77777777" w:rsidR="00DE0C06" w:rsidRDefault="007C211D">
      <w:pPr>
        <w:pStyle w:val="Heading1"/>
        <w:ind w:left="262"/>
      </w:pPr>
      <w:r>
        <w:lastRenderedPageBreak/>
        <w:t>Sum of the parts - segment economics</w:t>
      </w:r>
    </w:p>
    <w:p w14:paraId="61A983C5" w14:textId="77777777" w:rsidR="00DE0C06" w:rsidRDefault="007C211D">
      <w:pPr>
        <w:spacing w:after="26"/>
        <w:ind w:left="-5"/>
      </w:pPr>
      <w:r>
        <w:t>Each segment is valued on stand-alone cash flows with a terminal component. Sports Med and</w:t>
      </w:r>
    </w:p>
    <w:p w14:paraId="3F30F5E2" w14:textId="77777777" w:rsidR="00DE0C06" w:rsidRDefault="007C211D">
      <w:pPr>
        <w:ind w:left="-5"/>
      </w:pPr>
      <w:r>
        <w:t>ENT carries the highest value density; Advanced Wound is steady with strong conversion; Orthopaedics remains the margin swing factor. Segment EVs sum to GBP 20,958m; after net cash the implied equity is GBP 17,972m, or GBP 20.52 per ordinary and GBP 41.03 per ADR.</w:t>
      </w:r>
    </w:p>
    <w:tbl>
      <w:tblPr>
        <w:tblStyle w:val="TableGrid"/>
        <w:tblW w:w="9071" w:type="dxa"/>
        <w:tblInd w:w="0" w:type="dxa"/>
        <w:tblCellMar>
          <w:top w:w="121" w:type="dxa"/>
          <w:left w:w="120" w:type="dxa"/>
          <w:bottom w:w="0" w:type="dxa"/>
          <w:right w:w="120" w:type="dxa"/>
        </w:tblCellMar>
        <w:tblLook w:val="04A0" w:firstRow="1" w:lastRow="0" w:firstColumn="1" w:lastColumn="0" w:noHBand="0" w:noVBand="1"/>
      </w:tblPr>
      <w:tblGrid>
        <w:gridCol w:w="5386"/>
        <w:gridCol w:w="3685"/>
      </w:tblGrid>
      <w:tr w:rsidR="00DE0C06" w14:paraId="33451A37"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2F4F7"/>
          </w:tcPr>
          <w:p w14:paraId="5455A65C" w14:textId="77777777" w:rsidR="00DE0C06" w:rsidRDefault="007C211D">
            <w:pPr>
              <w:ind w:left="0" w:firstLine="0"/>
            </w:pPr>
            <w:r>
              <w:t>Segment</w:t>
            </w:r>
          </w:p>
        </w:tc>
        <w:tc>
          <w:tcPr>
            <w:tcW w:w="3685" w:type="dxa"/>
            <w:tcBorders>
              <w:top w:val="single" w:sz="2" w:space="0" w:color="D3D3D3"/>
              <w:left w:val="single" w:sz="2" w:space="0" w:color="D3D3D3"/>
              <w:bottom w:val="single" w:sz="2" w:space="0" w:color="D3D3D3"/>
              <w:right w:val="single" w:sz="2" w:space="0" w:color="D3D3D3"/>
            </w:tcBorders>
            <w:shd w:val="clear" w:color="auto" w:fill="F2F4F7"/>
          </w:tcPr>
          <w:p w14:paraId="74DBE74B" w14:textId="77777777" w:rsidR="00DE0C06" w:rsidRDefault="007C211D">
            <w:pPr>
              <w:ind w:left="0" w:firstLine="0"/>
            </w:pPr>
            <w:r>
              <w:t>EV (GBP m)</w:t>
            </w:r>
          </w:p>
        </w:tc>
      </w:tr>
      <w:tr w:rsidR="00DE0C06" w14:paraId="148CC137"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FFFFF"/>
          </w:tcPr>
          <w:p w14:paraId="7D0B6E18" w14:textId="77777777" w:rsidR="00DE0C06" w:rsidRDefault="007C211D">
            <w:pPr>
              <w:ind w:left="0" w:firstLine="0"/>
            </w:pPr>
            <w:r>
              <w:t>Orthopaedics</w:t>
            </w:r>
          </w:p>
        </w:tc>
        <w:tc>
          <w:tcPr>
            <w:tcW w:w="3685" w:type="dxa"/>
            <w:tcBorders>
              <w:top w:val="single" w:sz="2" w:space="0" w:color="D3D3D3"/>
              <w:left w:val="single" w:sz="2" w:space="0" w:color="D3D3D3"/>
              <w:bottom w:val="single" w:sz="2" w:space="0" w:color="D3D3D3"/>
              <w:right w:val="single" w:sz="2" w:space="0" w:color="D3D3D3"/>
            </w:tcBorders>
            <w:shd w:val="clear" w:color="auto" w:fill="FFFFFF"/>
          </w:tcPr>
          <w:p w14:paraId="3A8B7ED0" w14:textId="77777777" w:rsidR="00DE0C06" w:rsidRDefault="007C211D">
            <w:pPr>
              <w:ind w:left="0" w:firstLine="0"/>
              <w:jc w:val="right"/>
            </w:pPr>
            <w:r>
              <w:t>4,887</w:t>
            </w:r>
          </w:p>
        </w:tc>
      </w:tr>
      <w:tr w:rsidR="00DE0C06" w14:paraId="7530111C"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BFDFF"/>
          </w:tcPr>
          <w:p w14:paraId="76DD11AD" w14:textId="77777777" w:rsidR="00DE0C06" w:rsidRDefault="007C211D">
            <w:pPr>
              <w:ind w:left="0" w:firstLine="0"/>
            </w:pPr>
            <w:r>
              <w:t>Sports Med and ENT</w:t>
            </w:r>
          </w:p>
        </w:tc>
        <w:tc>
          <w:tcPr>
            <w:tcW w:w="3685" w:type="dxa"/>
            <w:tcBorders>
              <w:top w:val="single" w:sz="2" w:space="0" w:color="D3D3D3"/>
              <w:left w:val="single" w:sz="2" w:space="0" w:color="D3D3D3"/>
              <w:bottom w:val="single" w:sz="2" w:space="0" w:color="D3D3D3"/>
              <w:right w:val="single" w:sz="2" w:space="0" w:color="D3D3D3"/>
            </w:tcBorders>
            <w:shd w:val="clear" w:color="auto" w:fill="FBFDFF"/>
          </w:tcPr>
          <w:p w14:paraId="19FC0A9E" w14:textId="77777777" w:rsidR="00DE0C06" w:rsidRDefault="007C211D">
            <w:pPr>
              <w:ind w:left="0" w:firstLine="0"/>
              <w:jc w:val="right"/>
            </w:pPr>
            <w:r>
              <w:t>9,168</w:t>
            </w:r>
          </w:p>
        </w:tc>
      </w:tr>
      <w:tr w:rsidR="00DE0C06" w14:paraId="739FD07F"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FFFFF"/>
          </w:tcPr>
          <w:p w14:paraId="500D4479" w14:textId="77777777" w:rsidR="00DE0C06" w:rsidRDefault="007C211D">
            <w:pPr>
              <w:ind w:left="0" w:firstLine="0"/>
            </w:pPr>
            <w:r>
              <w:t>Advanced Wound</w:t>
            </w:r>
          </w:p>
        </w:tc>
        <w:tc>
          <w:tcPr>
            <w:tcW w:w="3685" w:type="dxa"/>
            <w:tcBorders>
              <w:top w:val="single" w:sz="2" w:space="0" w:color="D3D3D3"/>
              <w:left w:val="single" w:sz="2" w:space="0" w:color="D3D3D3"/>
              <w:bottom w:val="single" w:sz="2" w:space="0" w:color="D3D3D3"/>
              <w:right w:val="single" w:sz="2" w:space="0" w:color="D3D3D3"/>
            </w:tcBorders>
            <w:shd w:val="clear" w:color="auto" w:fill="FFFFFF"/>
          </w:tcPr>
          <w:p w14:paraId="2808C5FA" w14:textId="77777777" w:rsidR="00DE0C06" w:rsidRDefault="007C211D">
            <w:pPr>
              <w:ind w:left="0" w:firstLine="0"/>
              <w:jc w:val="right"/>
            </w:pPr>
            <w:r>
              <w:t>6,903</w:t>
            </w:r>
          </w:p>
        </w:tc>
      </w:tr>
      <w:tr w:rsidR="00DE0C06" w14:paraId="77A2CD56"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BFDFF"/>
          </w:tcPr>
          <w:p w14:paraId="550E9FAE" w14:textId="77777777" w:rsidR="00DE0C06" w:rsidRDefault="007C211D">
            <w:pPr>
              <w:ind w:left="0" w:firstLine="0"/>
            </w:pPr>
            <w:r>
              <w:t>Total</w:t>
            </w:r>
          </w:p>
        </w:tc>
        <w:tc>
          <w:tcPr>
            <w:tcW w:w="3685" w:type="dxa"/>
            <w:tcBorders>
              <w:top w:val="single" w:sz="2" w:space="0" w:color="D3D3D3"/>
              <w:left w:val="single" w:sz="2" w:space="0" w:color="D3D3D3"/>
              <w:bottom w:val="single" w:sz="2" w:space="0" w:color="D3D3D3"/>
              <w:right w:val="single" w:sz="2" w:space="0" w:color="D3D3D3"/>
            </w:tcBorders>
            <w:shd w:val="clear" w:color="auto" w:fill="FBFDFF"/>
          </w:tcPr>
          <w:p w14:paraId="2D10C6AE" w14:textId="77777777" w:rsidR="00DE0C06" w:rsidRDefault="007C211D">
            <w:pPr>
              <w:ind w:left="0" w:firstLine="0"/>
              <w:jc w:val="right"/>
            </w:pPr>
            <w:r>
              <w:t>20,958</w:t>
            </w:r>
          </w:p>
        </w:tc>
      </w:tr>
    </w:tbl>
    <w:p w14:paraId="3BAC4B10" w14:textId="77777777" w:rsidR="00DE0C06" w:rsidRDefault="007C211D">
      <w:pPr>
        <w:ind w:left="390" w:firstLine="0"/>
      </w:pPr>
      <w:r>
        <w:rPr>
          <w:noProof/>
        </w:rPr>
        <w:lastRenderedPageBreak/>
        <w:drawing>
          <wp:inline distT="0" distB="0" distL="0" distR="0" wp14:anchorId="4D62012A" wp14:editId="43D399C6">
            <wp:extent cx="5760000" cy="2880001"/>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5"/>
                    <a:stretch>
                      <a:fillRect/>
                    </a:stretch>
                  </pic:blipFill>
                  <pic:spPr>
                    <a:xfrm>
                      <a:off x="0" y="0"/>
                      <a:ext cx="5760000" cy="2880001"/>
                    </a:xfrm>
                    <a:prstGeom prst="rect">
                      <a:avLst/>
                    </a:prstGeom>
                  </pic:spPr>
                </pic:pic>
              </a:graphicData>
            </a:graphic>
          </wp:inline>
        </w:drawing>
      </w:r>
    </w:p>
    <w:p w14:paraId="5BC8712A" w14:textId="77777777" w:rsidR="00DE0C06" w:rsidRDefault="007C211D">
      <w:pPr>
        <w:pStyle w:val="Heading1"/>
        <w:ind w:left="262"/>
      </w:pPr>
      <w:r>
        <w:t>Pipeline rNPV - pricing the optionality</w:t>
      </w:r>
    </w:p>
    <w:p w14:paraId="33AA359F" w14:textId="77777777" w:rsidR="00DE0C06" w:rsidRDefault="007C211D">
      <w:pPr>
        <w:ind w:left="-5"/>
      </w:pPr>
      <w:r>
        <w:t>Risk-weighted pipeline cash flows by segment are added to current NPVs to capture upside that a pure DCF can miss. The aggregate implies equity of GBP 22,499m, or GBP 25.68 per ordinary and GBP 51.37 per ADR. Sports Med and ENT accounts for the largest risked value, consistent with innovation cadence.</w:t>
      </w:r>
    </w:p>
    <w:tbl>
      <w:tblPr>
        <w:tblStyle w:val="TableGrid"/>
        <w:tblW w:w="9071" w:type="dxa"/>
        <w:tblInd w:w="0" w:type="dxa"/>
        <w:tblCellMar>
          <w:top w:w="121" w:type="dxa"/>
          <w:left w:w="120" w:type="dxa"/>
          <w:bottom w:w="0" w:type="dxa"/>
          <w:right w:w="120" w:type="dxa"/>
        </w:tblCellMar>
        <w:tblLook w:val="04A0" w:firstRow="1" w:lastRow="0" w:firstColumn="1" w:lastColumn="0" w:noHBand="0" w:noVBand="1"/>
      </w:tblPr>
      <w:tblGrid>
        <w:gridCol w:w="5386"/>
        <w:gridCol w:w="3685"/>
      </w:tblGrid>
      <w:tr w:rsidR="00DE0C06" w14:paraId="6141779E"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2F4F7"/>
          </w:tcPr>
          <w:p w14:paraId="23D7D4AD" w14:textId="77777777" w:rsidR="00DE0C06" w:rsidRDefault="007C211D">
            <w:pPr>
              <w:ind w:left="0" w:firstLine="0"/>
            </w:pPr>
            <w:r>
              <w:t>Segment</w:t>
            </w:r>
          </w:p>
        </w:tc>
        <w:tc>
          <w:tcPr>
            <w:tcW w:w="3685" w:type="dxa"/>
            <w:tcBorders>
              <w:top w:val="single" w:sz="2" w:space="0" w:color="D3D3D3"/>
              <w:left w:val="single" w:sz="2" w:space="0" w:color="D3D3D3"/>
              <w:bottom w:val="single" w:sz="2" w:space="0" w:color="D3D3D3"/>
              <w:right w:val="single" w:sz="2" w:space="0" w:color="D3D3D3"/>
            </w:tcBorders>
            <w:shd w:val="clear" w:color="auto" w:fill="F2F4F7"/>
          </w:tcPr>
          <w:p w14:paraId="2A06C85E" w14:textId="77777777" w:rsidR="00DE0C06" w:rsidRDefault="007C211D">
            <w:pPr>
              <w:ind w:left="0" w:firstLine="0"/>
            </w:pPr>
            <w:r>
              <w:t>Pipeline rNPV (GBP m)</w:t>
            </w:r>
          </w:p>
        </w:tc>
      </w:tr>
      <w:tr w:rsidR="00DE0C06" w14:paraId="0BF283F3"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FFFFF"/>
          </w:tcPr>
          <w:p w14:paraId="2796CE74" w14:textId="77777777" w:rsidR="00DE0C06" w:rsidRDefault="007C211D">
            <w:pPr>
              <w:ind w:left="0" w:firstLine="0"/>
            </w:pPr>
            <w:r>
              <w:t>Sports Med and ENT</w:t>
            </w:r>
          </w:p>
        </w:tc>
        <w:tc>
          <w:tcPr>
            <w:tcW w:w="3685" w:type="dxa"/>
            <w:tcBorders>
              <w:top w:val="single" w:sz="2" w:space="0" w:color="D3D3D3"/>
              <w:left w:val="single" w:sz="2" w:space="0" w:color="D3D3D3"/>
              <w:bottom w:val="single" w:sz="2" w:space="0" w:color="D3D3D3"/>
              <w:right w:val="single" w:sz="2" w:space="0" w:color="D3D3D3"/>
            </w:tcBorders>
            <w:shd w:val="clear" w:color="auto" w:fill="FFFFFF"/>
          </w:tcPr>
          <w:p w14:paraId="5F7AFAC0" w14:textId="77777777" w:rsidR="00DE0C06" w:rsidRDefault="007C211D">
            <w:pPr>
              <w:ind w:left="0" w:firstLine="0"/>
              <w:jc w:val="right"/>
            </w:pPr>
            <w:r>
              <w:t>10,562</w:t>
            </w:r>
          </w:p>
        </w:tc>
      </w:tr>
      <w:tr w:rsidR="00DE0C06" w14:paraId="56252D60"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BFDFF"/>
          </w:tcPr>
          <w:p w14:paraId="71BCBFD7" w14:textId="77777777" w:rsidR="00DE0C06" w:rsidRDefault="007C211D">
            <w:pPr>
              <w:ind w:left="0" w:firstLine="0"/>
            </w:pPr>
            <w:r>
              <w:t>Orthopaedics</w:t>
            </w:r>
          </w:p>
        </w:tc>
        <w:tc>
          <w:tcPr>
            <w:tcW w:w="3685" w:type="dxa"/>
            <w:tcBorders>
              <w:top w:val="single" w:sz="2" w:space="0" w:color="D3D3D3"/>
              <w:left w:val="single" w:sz="2" w:space="0" w:color="D3D3D3"/>
              <w:bottom w:val="single" w:sz="2" w:space="0" w:color="D3D3D3"/>
              <w:right w:val="single" w:sz="2" w:space="0" w:color="D3D3D3"/>
            </w:tcBorders>
            <w:shd w:val="clear" w:color="auto" w:fill="FBFDFF"/>
          </w:tcPr>
          <w:p w14:paraId="71188EA4" w14:textId="77777777" w:rsidR="00DE0C06" w:rsidRDefault="007C211D">
            <w:pPr>
              <w:ind w:left="0" w:firstLine="0"/>
              <w:jc w:val="right"/>
            </w:pPr>
            <w:r>
              <w:t>6,609</w:t>
            </w:r>
          </w:p>
        </w:tc>
      </w:tr>
      <w:tr w:rsidR="00DE0C06" w14:paraId="69F8C047" w14:textId="77777777">
        <w:trPr>
          <w:trHeight w:val="360"/>
        </w:trPr>
        <w:tc>
          <w:tcPr>
            <w:tcW w:w="5386" w:type="dxa"/>
            <w:tcBorders>
              <w:top w:val="single" w:sz="2" w:space="0" w:color="D3D3D3"/>
              <w:left w:val="single" w:sz="2" w:space="0" w:color="D3D3D3"/>
              <w:bottom w:val="single" w:sz="2" w:space="0" w:color="D3D3D3"/>
              <w:right w:val="single" w:sz="2" w:space="0" w:color="D3D3D3"/>
            </w:tcBorders>
            <w:shd w:val="clear" w:color="auto" w:fill="FFFFFF"/>
          </w:tcPr>
          <w:p w14:paraId="6B4AA931" w14:textId="77777777" w:rsidR="00DE0C06" w:rsidRDefault="007C211D">
            <w:pPr>
              <w:ind w:left="0" w:firstLine="0"/>
            </w:pPr>
            <w:r>
              <w:lastRenderedPageBreak/>
              <w:t>Advanced Wound</w:t>
            </w:r>
          </w:p>
        </w:tc>
        <w:tc>
          <w:tcPr>
            <w:tcW w:w="3685" w:type="dxa"/>
            <w:tcBorders>
              <w:top w:val="single" w:sz="2" w:space="0" w:color="D3D3D3"/>
              <w:left w:val="single" w:sz="2" w:space="0" w:color="D3D3D3"/>
              <w:bottom w:val="single" w:sz="2" w:space="0" w:color="D3D3D3"/>
              <w:right w:val="single" w:sz="2" w:space="0" w:color="D3D3D3"/>
            </w:tcBorders>
            <w:shd w:val="clear" w:color="auto" w:fill="FFFFFF"/>
          </w:tcPr>
          <w:p w14:paraId="2A49BD87" w14:textId="77777777" w:rsidR="00DE0C06" w:rsidRDefault="007C211D">
            <w:pPr>
              <w:ind w:left="0" w:firstLine="0"/>
              <w:jc w:val="right"/>
            </w:pPr>
            <w:r>
              <w:t>8,314</w:t>
            </w:r>
          </w:p>
        </w:tc>
      </w:tr>
    </w:tbl>
    <w:p w14:paraId="06F554A4" w14:textId="77777777" w:rsidR="00DE0C06" w:rsidRDefault="007C211D">
      <w:pPr>
        <w:ind w:left="390" w:firstLine="0"/>
      </w:pPr>
      <w:r>
        <w:rPr>
          <w:noProof/>
        </w:rPr>
        <w:drawing>
          <wp:inline distT="0" distB="0" distL="0" distR="0" wp14:anchorId="27BF21E4" wp14:editId="6A83DCF3">
            <wp:extent cx="5760000" cy="2880001"/>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6"/>
                    <a:stretch>
                      <a:fillRect/>
                    </a:stretch>
                  </pic:blipFill>
                  <pic:spPr>
                    <a:xfrm>
                      <a:off x="0" y="0"/>
                      <a:ext cx="5760000" cy="2880001"/>
                    </a:xfrm>
                    <a:prstGeom prst="rect">
                      <a:avLst/>
                    </a:prstGeom>
                  </pic:spPr>
                </pic:pic>
              </a:graphicData>
            </a:graphic>
          </wp:inline>
        </w:drawing>
      </w:r>
    </w:p>
    <w:p w14:paraId="0CBCB9D3" w14:textId="77777777" w:rsidR="00DE0C06" w:rsidRDefault="007C211D">
      <w:pPr>
        <w:pStyle w:val="Heading1"/>
        <w:ind w:left="262"/>
      </w:pPr>
      <w:r>
        <w:t>Valuation sensitivity - per ADR value</w:t>
      </w:r>
    </w:p>
    <w:p w14:paraId="3F318781" w14:textId="77777777" w:rsidR="00DE0C06" w:rsidRDefault="007C211D">
      <w:pPr>
        <w:spacing w:line="267" w:lineRule="auto"/>
        <w:ind w:left="-5"/>
      </w:pPr>
      <w:r>
        <w:rPr>
          <w:color w:val="6B7280"/>
          <w:sz w:val="19"/>
        </w:rPr>
        <w:t>Five-year cash flows discounted plus a perpetuity for terminal. Values shown at combinations of WACC and terminal growth.</w:t>
      </w:r>
    </w:p>
    <w:tbl>
      <w:tblPr>
        <w:tblStyle w:val="TableGrid"/>
        <w:tblW w:w="9638" w:type="dxa"/>
        <w:tblInd w:w="0" w:type="dxa"/>
        <w:tblCellMar>
          <w:top w:w="121" w:type="dxa"/>
          <w:left w:w="120" w:type="dxa"/>
          <w:bottom w:w="0" w:type="dxa"/>
          <w:right w:w="115" w:type="dxa"/>
        </w:tblCellMar>
        <w:tblLook w:val="04A0" w:firstRow="1" w:lastRow="0" w:firstColumn="1" w:lastColumn="0" w:noHBand="0" w:noVBand="1"/>
      </w:tblPr>
      <w:tblGrid>
        <w:gridCol w:w="1702"/>
        <w:gridCol w:w="1588"/>
        <w:gridCol w:w="1587"/>
        <w:gridCol w:w="1587"/>
        <w:gridCol w:w="1587"/>
        <w:gridCol w:w="1587"/>
      </w:tblGrid>
      <w:tr w:rsidR="00DE0C06" w14:paraId="2281D2BB"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2F4F7"/>
          </w:tcPr>
          <w:p w14:paraId="6A282E03" w14:textId="77777777" w:rsidR="00DE0C06" w:rsidRDefault="007C211D">
            <w:pPr>
              <w:ind w:left="0" w:firstLine="0"/>
            </w:pPr>
            <w:r>
              <w:t>g \ WACC</w:t>
            </w:r>
          </w:p>
        </w:tc>
        <w:tc>
          <w:tcPr>
            <w:tcW w:w="1587" w:type="dxa"/>
            <w:tcBorders>
              <w:top w:val="single" w:sz="2" w:space="0" w:color="D3D3D3"/>
              <w:left w:val="single" w:sz="2" w:space="0" w:color="D3D3D3"/>
              <w:bottom w:val="single" w:sz="2" w:space="0" w:color="D3D3D3"/>
              <w:right w:val="single" w:sz="2" w:space="0" w:color="D3D3D3"/>
            </w:tcBorders>
            <w:shd w:val="clear" w:color="auto" w:fill="F2F4F7"/>
          </w:tcPr>
          <w:p w14:paraId="227A143D" w14:textId="77777777" w:rsidR="00DE0C06" w:rsidRDefault="007C211D">
            <w:pPr>
              <w:ind w:left="0" w:firstLine="0"/>
            </w:pPr>
            <w:r>
              <w:t>5.30%</w:t>
            </w:r>
          </w:p>
        </w:tc>
        <w:tc>
          <w:tcPr>
            <w:tcW w:w="1587" w:type="dxa"/>
            <w:tcBorders>
              <w:top w:val="single" w:sz="2" w:space="0" w:color="D3D3D3"/>
              <w:left w:val="single" w:sz="2" w:space="0" w:color="D3D3D3"/>
              <w:bottom w:val="single" w:sz="2" w:space="0" w:color="D3D3D3"/>
              <w:right w:val="single" w:sz="2" w:space="0" w:color="D3D3D3"/>
            </w:tcBorders>
            <w:shd w:val="clear" w:color="auto" w:fill="F2F4F7"/>
          </w:tcPr>
          <w:p w14:paraId="40673842" w14:textId="77777777" w:rsidR="00DE0C06" w:rsidRDefault="007C211D">
            <w:pPr>
              <w:ind w:left="0" w:firstLine="0"/>
            </w:pPr>
            <w:r>
              <w:t>5.55%</w:t>
            </w:r>
          </w:p>
        </w:tc>
        <w:tc>
          <w:tcPr>
            <w:tcW w:w="1587" w:type="dxa"/>
            <w:tcBorders>
              <w:top w:val="single" w:sz="2" w:space="0" w:color="D3D3D3"/>
              <w:left w:val="single" w:sz="2" w:space="0" w:color="D3D3D3"/>
              <w:bottom w:val="single" w:sz="2" w:space="0" w:color="D3D3D3"/>
              <w:right w:val="single" w:sz="2" w:space="0" w:color="D3D3D3"/>
            </w:tcBorders>
            <w:shd w:val="clear" w:color="auto" w:fill="F2F4F7"/>
          </w:tcPr>
          <w:p w14:paraId="52E61C7C" w14:textId="77777777" w:rsidR="00DE0C06" w:rsidRDefault="007C211D">
            <w:pPr>
              <w:ind w:left="0" w:firstLine="0"/>
            </w:pPr>
            <w:r>
              <w:t>5.80%</w:t>
            </w:r>
          </w:p>
        </w:tc>
        <w:tc>
          <w:tcPr>
            <w:tcW w:w="1587" w:type="dxa"/>
            <w:tcBorders>
              <w:top w:val="single" w:sz="2" w:space="0" w:color="D3D3D3"/>
              <w:left w:val="single" w:sz="2" w:space="0" w:color="D3D3D3"/>
              <w:bottom w:val="single" w:sz="2" w:space="0" w:color="D3D3D3"/>
              <w:right w:val="single" w:sz="2" w:space="0" w:color="D3D3D3"/>
            </w:tcBorders>
            <w:shd w:val="clear" w:color="auto" w:fill="F2F4F7"/>
          </w:tcPr>
          <w:p w14:paraId="60DF9916" w14:textId="77777777" w:rsidR="00DE0C06" w:rsidRDefault="007C211D">
            <w:pPr>
              <w:ind w:left="0" w:firstLine="0"/>
            </w:pPr>
            <w:r>
              <w:t>6.05%</w:t>
            </w:r>
          </w:p>
        </w:tc>
        <w:tc>
          <w:tcPr>
            <w:tcW w:w="1587" w:type="dxa"/>
            <w:tcBorders>
              <w:top w:val="single" w:sz="2" w:space="0" w:color="D3D3D3"/>
              <w:left w:val="single" w:sz="2" w:space="0" w:color="D3D3D3"/>
              <w:bottom w:val="single" w:sz="2" w:space="0" w:color="D3D3D3"/>
              <w:right w:val="single" w:sz="2" w:space="0" w:color="D3D3D3"/>
            </w:tcBorders>
            <w:shd w:val="clear" w:color="auto" w:fill="F2F4F7"/>
          </w:tcPr>
          <w:p w14:paraId="7D00CB3D" w14:textId="77777777" w:rsidR="00DE0C06" w:rsidRDefault="007C211D">
            <w:pPr>
              <w:ind w:left="0" w:firstLine="0"/>
            </w:pPr>
            <w:r>
              <w:t>6.30%</w:t>
            </w:r>
          </w:p>
        </w:tc>
      </w:tr>
      <w:tr w:rsidR="00DE0C06" w14:paraId="3ABE5243"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FFFFF"/>
          </w:tcPr>
          <w:p w14:paraId="697E153D" w14:textId="77777777" w:rsidR="00DE0C06" w:rsidRDefault="007C211D">
            <w:pPr>
              <w:ind w:left="0" w:firstLine="0"/>
            </w:pPr>
            <w:r>
              <w:t>1.50%</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2501C60A" w14:textId="77777777" w:rsidR="00DE0C06" w:rsidRDefault="007C211D">
            <w:pPr>
              <w:ind w:left="291" w:firstLine="0"/>
            </w:pPr>
            <w:r>
              <w:t>GBP 39.68</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5017314B" w14:textId="77777777" w:rsidR="00DE0C06" w:rsidRDefault="007C211D">
            <w:pPr>
              <w:ind w:left="291" w:firstLine="0"/>
            </w:pPr>
            <w:r>
              <w:t>GBP 36.75</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24CAE4E9" w14:textId="77777777" w:rsidR="00DE0C06" w:rsidRDefault="007C211D">
            <w:pPr>
              <w:ind w:left="291" w:firstLine="0"/>
            </w:pPr>
            <w:r>
              <w:t>GBP 34.17</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16BC903F" w14:textId="77777777" w:rsidR="00DE0C06" w:rsidRDefault="007C211D">
            <w:pPr>
              <w:ind w:left="291" w:firstLine="0"/>
            </w:pPr>
            <w:r>
              <w:t>GBP 31.87</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5AF66CF1" w14:textId="77777777" w:rsidR="00DE0C06" w:rsidRDefault="007C211D">
            <w:pPr>
              <w:ind w:left="291" w:firstLine="0"/>
            </w:pPr>
            <w:r>
              <w:t>GBP 29.82</w:t>
            </w:r>
          </w:p>
        </w:tc>
      </w:tr>
      <w:tr w:rsidR="00DE0C06" w14:paraId="4EE6F6D1"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BFDFF"/>
          </w:tcPr>
          <w:p w14:paraId="32669FB8" w14:textId="77777777" w:rsidR="00DE0C06" w:rsidRDefault="007C211D">
            <w:pPr>
              <w:ind w:left="0" w:firstLine="0"/>
            </w:pPr>
            <w:r>
              <w:lastRenderedPageBreak/>
              <w:t>1.75%</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260A2558" w14:textId="77777777" w:rsidR="00DE0C06" w:rsidRDefault="007C211D">
            <w:pPr>
              <w:ind w:left="291" w:firstLine="0"/>
            </w:pPr>
            <w:r>
              <w:t>GBP 42.56</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6E477017" w14:textId="77777777" w:rsidR="00DE0C06" w:rsidRDefault="007C211D">
            <w:pPr>
              <w:ind w:left="291" w:firstLine="0"/>
            </w:pPr>
            <w:r>
              <w:t>GBP 39.26</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45A41B5D" w14:textId="77777777" w:rsidR="00DE0C06" w:rsidRDefault="007C211D">
            <w:pPr>
              <w:ind w:left="291" w:firstLine="0"/>
            </w:pPr>
            <w:r>
              <w:t>GBP 36.36</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43BAA61D" w14:textId="77777777" w:rsidR="00DE0C06" w:rsidRDefault="007C211D">
            <w:pPr>
              <w:ind w:left="291" w:firstLine="0"/>
            </w:pPr>
            <w:r>
              <w:t>GBP 33.81</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6A836C84" w14:textId="77777777" w:rsidR="00DE0C06" w:rsidRDefault="007C211D">
            <w:pPr>
              <w:ind w:left="291" w:firstLine="0"/>
            </w:pPr>
            <w:r>
              <w:t>GBP 31.53</w:t>
            </w:r>
          </w:p>
        </w:tc>
      </w:tr>
      <w:tr w:rsidR="00DE0C06" w14:paraId="6845A05F"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FFFFF"/>
          </w:tcPr>
          <w:p w14:paraId="0D979B3A" w14:textId="77777777" w:rsidR="00DE0C06" w:rsidRDefault="007C211D">
            <w:pPr>
              <w:ind w:left="0" w:firstLine="0"/>
            </w:pPr>
            <w:r>
              <w:t>2.00%</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0C2AB7BF" w14:textId="77777777" w:rsidR="00DE0C06" w:rsidRDefault="007C211D">
            <w:pPr>
              <w:ind w:left="291" w:firstLine="0"/>
            </w:pPr>
            <w:r>
              <w:t>GBP 45.88</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5DD7CC4A" w14:textId="77777777" w:rsidR="00DE0C06" w:rsidRDefault="007C211D">
            <w:pPr>
              <w:ind w:left="291" w:firstLine="0"/>
            </w:pPr>
            <w:r>
              <w:t>GBP 42.11</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3AC50BAC" w14:textId="77777777" w:rsidR="00DE0C06" w:rsidRDefault="007C211D">
            <w:pPr>
              <w:ind w:left="291" w:firstLine="0"/>
            </w:pPr>
            <w:r>
              <w:t>GBP 38.84</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345DA8B1" w14:textId="77777777" w:rsidR="00DE0C06" w:rsidRDefault="007C211D">
            <w:pPr>
              <w:ind w:left="291" w:firstLine="0"/>
            </w:pPr>
            <w:r>
              <w:t>GBP 35.98</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081D54AA" w14:textId="77777777" w:rsidR="00DE0C06" w:rsidRDefault="007C211D">
            <w:pPr>
              <w:ind w:left="291" w:firstLine="0"/>
            </w:pPr>
            <w:r>
              <w:t>GBP 33.44</w:t>
            </w:r>
          </w:p>
        </w:tc>
      </w:tr>
      <w:tr w:rsidR="00DE0C06" w14:paraId="2A923FA2"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BFDFF"/>
          </w:tcPr>
          <w:p w14:paraId="52265991" w14:textId="77777777" w:rsidR="00DE0C06" w:rsidRDefault="007C211D">
            <w:pPr>
              <w:ind w:left="0" w:firstLine="0"/>
            </w:pPr>
            <w:r>
              <w:t>2.25%</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2446EF96" w14:textId="77777777" w:rsidR="00DE0C06" w:rsidRDefault="007C211D">
            <w:pPr>
              <w:ind w:left="291" w:firstLine="0"/>
            </w:pPr>
            <w:r>
              <w:t>GBP 49.74</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50621426" w14:textId="77777777" w:rsidR="00DE0C06" w:rsidRDefault="007C211D">
            <w:pPr>
              <w:ind w:left="291" w:firstLine="0"/>
            </w:pPr>
            <w:r>
              <w:t>GBP 45.40</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5DABDAA8" w14:textId="77777777" w:rsidR="00DE0C06" w:rsidRDefault="007C211D">
            <w:pPr>
              <w:ind w:left="291" w:firstLine="0"/>
            </w:pPr>
            <w:r>
              <w:t>GBP 41.67</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24F04B9B" w14:textId="77777777" w:rsidR="00DE0C06" w:rsidRDefault="007C211D">
            <w:pPr>
              <w:ind w:left="291" w:firstLine="0"/>
            </w:pPr>
            <w:r>
              <w:t>GBP 38.43</w:t>
            </w:r>
          </w:p>
        </w:tc>
        <w:tc>
          <w:tcPr>
            <w:tcW w:w="1587" w:type="dxa"/>
            <w:tcBorders>
              <w:top w:val="single" w:sz="2" w:space="0" w:color="D3D3D3"/>
              <w:left w:val="single" w:sz="2" w:space="0" w:color="D3D3D3"/>
              <w:bottom w:val="single" w:sz="2" w:space="0" w:color="D3D3D3"/>
              <w:right w:val="single" w:sz="2" w:space="0" w:color="D3D3D3"/>
            </w:tcBorders>
            <w:shd w:val="clear" w:color="auto" w:fill="FBFDFF"/>
          </w:tcPr>
          <w:p w14:paraId="3191345A" w14:textId="77777777" w:rsidR="00DE0C06" w:rsidRDefault="007C211D">
            <w:pPr>
              <w:ind w:left="291" w:firstLine="0"/>
            </w:pPr>
            <w:r>
              <w:t>GBP 35.59</w:t>
            </w:r>
          </w:p>
        </w:tc>
      </w:tr>
      <w:tr w:rsidR="00DE0C06" w14:paraId="0BEF9A76" w14:textId="77777777">
        <w:trPr>
          <w:trHeight w:val="360"/>
        </w:trPr>
        <w:tc>
          <w:tcPr>
            <w:tcW w:w="1701" w:type="dxa"/>
            <w:tcBorders>
              <w:top w:val="single" w:sz="2" w:space="0" w:color="D3D3D3"/>
              <w:left w:val="single" w:sz="2" w:space="0" w:color="D3D3D3"/>
              <w:bottom w:val="single" w:sz="2" w:space="0" w:color="D3D3D3"/>
              <w:right w:val="single" w:sz="2" w:space="0" w:color="D3D3D3"/>
            </w:tcBorders>
            <w:shd w:val="clear" w:color="auto" w:fill="FFFFFF"/>
          </w:tcPr>
          <w:p w14:paraId="479FE2A6" w14:textId="77777777" w:rsidR="00DE0C06" w:rsidRDefault="007C211D">
            <w:pPr>
              <w:ind w:left="0" w:firstLine="0"/>
            </w:pPr>
            <w:r>
              <w:t>2.50%</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5BC6C801" w14:textId="77777777" w:rsidR="00DE0C06" w:rsidRDefault="007C211D">
            <w:pPr>
              <w:ind w:left="291" w:firstLine="0"/>
            </w:pPr>
            <w:r>
              <w:t>GBP 54.30</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73F3B610" w14:textId="77777777" w:rsidR="00DE0C06" w:rsidRDefault="007C211D">
            <w:pPr>
              <w:ind w:left="291" w:firstLine="0"/>
            </w:pPr>
            <w:r>
              <w:t>GBP 49.23</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679C6CA3" w14:textId="77777777" w:rsidR="00DE0C06" w:rsidRDefault="007C211D">
            <w:pPr>
              <w:ind w:left="291" w:firstLine="0"/>
            </w:pPr>
            <w:r>
              <w:t>GBP 44.93</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7700878C" w14:textId="77777777" w:rsidR="00DE0C06" w:rsidRDefault="007C211D">
            <w:pPr>
              <w:ind w:left="291" w:firstLine="0"/>
            </w:pPr>
            <w:r>
              <w:t>GBP 41.23</w:t>
            </w:r>
          </w:p>
        </w:tc>
        <w:tc>
          <w:tcPr>
            <w:tcW w:w="1587" w:type="dxa"/>
            <w:tcBorders>
              <w:top w:val="single" w:sz="2" w:space="0" w:color="D3D3D3"/>
              <w:left w:val="single" w:sz="2" w:space="0" w:color="D3D3D3"/>
              <w:bottom w:val="single" w:sz="2" w:space="0" w:color="D3D3D3"/>
              <w:right w:val="single" w:sz="2" w:space="0" w:color="D3D3D3"/>
            </w:tcBorders>
            <w:shd w:val="clear" w:color="auto" w:fill="FFFFFF"/>
          </w:tcPr>
          <w:p w14:paraId="6A5CF9FF" w14:textId="77777777" w:rsidR="00DE0C06" w:rsidRDefault="007C211D">
            <w:pPr>
              <w:ind w:left="291" w:firstLine="0"/>
            </w:pPr>
            <w:r>
              <w:t>GBP 38.03</w:t>
            </w:r>
          </w:p>
        </w:tc>
      </w:tr>
    </w:tbl>
    <w:p w14:paraId="020546C9" w14:textId="77777777" w:rsidR="00DE0C06" w:rsidRDefault="007C211D">
      <w:r>
        <w:br w:type="page"/>
      </w:r>
    </w:p>
    <w:p w14:paraId="1F793D0D" w14:textId="77777777" w:rsidR="00DE0C06" w:rsidRDefault="007C211D">
      <w:pPr>
        <w:pStyle w:val="Heading1"/>
        <w:ind w:left="262"/>
      </w:pPr>
      <w:r>
        <w:lastRenderedPageBreak/>
        <w:t>Risks, proof points and catalysts</w:t>
      </w:r>
    </w:p>
    <w:p w14:paraId="0927DFC3" w14:textId="77777777" w:rsidR="00DE0C06" w:rsidRDefault="007C211D">
      <w:pPr>
        <w:spacing w:after="310"/>
        <w:ind w:left="-5"/>
      </w:pPr>
      <w:r>
        <w:t>- Risks: Orthopaedics execution and price pressure; China demand variability post volume-based procurement; FX translation. - Proof points: sequential margin and conversion, stable service levels, throughput gains in Orthopaedics, visible adoption of pipeline launches. - Catalysts: operational normalisation, sustained Sports Med and Wound growth cadence, and balanced capital allocation including opportunistic buybacks.</w:t>
      </w:r>
    </w:p>
    <w:p w14:paraId="59C0039F" w14:textId="77777777" w:rsidR="00DE0C06" w:rsidRDefault="007C211D">
      <w:pPr>
        <w:pStyle w:val="Heading1"/>
        <w:shd w:val="clear" w:color="auto" w:fill="0B3C5D"/>
        <w:ind w:left="262"/>
      </w:pPr>
      <w:r>
        <w:t>Conclusion</w:t>
      </w:r>
    </w:p>
    <w:p w14:paraId="3657C50D" w14:textId="77777777" w:rsidR="00DE0C06" w:rsidRDefault="007C211D">
      <w:pPr>
        <w:ind w:left="-5"/>
      </w:pPr>
      <w:r>
        <w:t>The triangulation of DCF, SOTP and rNPV points to a fair value cluster around GBP 41.03 per ADR on the median (GBP 43.75 on a simple average). The case rests on dependable cash generation, continued margin repair and mix improvement. Downside is cushioned by the balance sheet; upside requires consistent delivery and proof that pipeline optionality is converting.</w:t>
      </w:r>
    </w:p>
    <w:p w14:paraId="602F58D7" w14:textId="77777777" w:rsidR="00DE0C06" w:rsidRDefault="00DE0C06">
      <w:pPr>
        <w:sectPr w:rsidR="00DE0C06">
          <w:headerReference w:type="even" r:id="rId17"/>
          <w:headerReference w:type="default" r:id="rId18"/>
          <w:headerReference w:type="first" r:id="rId19"/>
          <w:pgSz w:w="11906" w:h="16838"/>
          <w:pgMar w:top="1048" w:right="1027" w:bottom="7751" w:left="1027" w:header="857" w:footer="720" w:gutter="0"/>
          <w:cols w:space="720"/>
        </w:sectPr>
      </w:pPr>
    </w:p>
    <w:p w14:paraId="13701723" w14:textId="77777777" w:rsidR="00DE0C06" w:rsidRDefault="007C211D">
      <w:pPr>
        <w:pStyle w:val="Heading1"/>
        <w:shd w:val="clear" w:color="auto" w:fill="0B3C5D"/>
        <w:ind w:left="262"/>
      </w:pPr>
      <w:r>
        <w:lastRenderedPageBreak/>
        <w:t>Notes and sources</w:t>
      </w:r>
    </w:p>
    <w:p w14:paraId="4E3443D3" w14:textId="77777777" w:rsidR="00DE0C06" w:rsidRDefault="007C211D">
      <w:pPr>
        <w:spacing w:after="270"/>
        <w:ind w:left="-5"/>
      </w:pPr>
      <w:r>
        <w:t>- FY 2024 results and 12-point plan delivery; segment margin expansion and trading margin methodology changes (company materials). - H1 2025: guidance maintained; trading margin expansion; buyback announced; robust cash generation (company materials). - Reuters/FT coverage: guidance, tariff commentary, China demand/VBP dynamics, shareholder break-up debate. - NICE technology briefing: CORI robotic platform indications and image-free workflow.</w:t>
      </w:r>
    </w:p>
    <w:p w14:paraId="461AD2A3" w14:textId="77777777" w:rsidR="00DE0C06" w:rsidRDefault="007C211D">
      <w:pPr>
        <w:spacing w:line="267" w:lineRule="auto"/>
        <w:ind w:left="-5"/>
      </w:pPr>
      <w:r>
        <w:rPr>
          <w:color w:val="6B7280"/>
          <w:sz w:val="19"/>
        </w:rPr>
        <w:t>Source: Client DCF, SOTP and rNPV workbooks; three-statement model. Figures GBP m unless noted. This is not investment advice.</w:t>
      </w:r>
    </w:p>
    <w:sectPr w:rsidR="00DE0C06">
      <w:headerReference w:type="even" r:id="rId20"/>
      <w:headerReference w:type="default" r:id="rId21"/>
      <w:headerReference w:type="first" r:id="rId22"/>
      <w:pgSz w:w="11906" w:h="16838"/>
      <w:pgMar w:top="1440" w:right="1371" w:bottom="1440" w:left="102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2A0B" w14:textId="77777777" w:rsidR="007C211D" w:rsidRDefault="007C211D">
      <w:pPr>
        <w:spacing w:line="240" w:lineRule="auto"/>
      </w:pPr>
      <w:r>
        <w:separator/>
      </w:r>
    </w:p>
  </w:endnote>
  <w:endnote w:type="continuationSeparator" w:id="0">
    <w:p w14:paraId="015CEEC6" w14:textId="77777777" w:rsidR="007C211D" w:rsidRDefault="007C2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36CB5" w14:textId="77777777" w:rsidR="007C211D" w:rsidRDefault="007C211D">
      <w:pPr>
        <w:spacing w:line="240" w:lineRule="auto"/>
      </w:pPr>
      <w:r>
        <w:separator/>
      </w:r>
    </w:p>
  </w:footnote>
  <w:footnote w:type="continuationSeparator" w:id="0">
    <w:p w14:paraId="15C93DA6" w14:textId="77777777" w:rsidR="007C211D" w:rsidRDefault="007C21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6E47" w14:textId="77777777" w:rsidR="00DE0C06" w:rsidRDefault="007C211D">
    <w:pPr>
      <w:ind w:left="-1027" w:right="107"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4B371B6" wp14:editId="131E2205">
              <wp:simplePos x="0" y="0"/>
              <wp:positionH relativeFrom="page">
                <wp:posOffset>720000</wp:posOffset>
              </wp:positionH>
              <wp:positionV relativeFrom="page">
                <wp:posOffset>544199</wp:posOffset>
              </wp:positionV>
              <wp:extent cx="6120001" cy="304800"/>
              <wp:effectExtent l="0" t="0" r="0" b="0"/>
              <wp:wrapSquare wrapText="bothSides"/>
              <wp:docPr id="6556" name="Group 6556"/>
              <wp:cNvGraphicFramePr/>
              <a:graphic xmlns:a="http://schemas.openxmlformats.org/drawingml/2006/main">
                <a:graphicData uri="http://schemas.microsoft.com/office/word/2010/wordprocessingGroup">
                  <wpg:wgp>
                    <wpg:cNvGrpSpPr/>
                    <wpg:grpSpPr>
                      <a:xfrm>
                        <a:off x="0" y="0"/>
                        <a:ext cx="6120001" cy="304800"/>
                        <a:chOff x="0" y="0"/>
                        <a:chExt cx="6120001" cy="304800"/>
                      </a:xfrm>
                    </wpg:grpSpPr>
                    <wps:wsp>
                      <wps:cNvPr id="6975" name="Shape 6975"/>
                      <wps:cNvSpPr/>
                      <wps:spPr>
                        <a:xfrm>
                          <a:off x="0" y="0"/>
                          <a:ext cx="6120001" cy="304800"/>
                        </a:xfrm>
                        <a:custGeom>
                          <a:avLst/>
                          <a:gdLst/>
                          <a:ahLst/>
                          <a:cxnLst/>
                          <a:rect l="0" t="0" r="0" b="0"/>
                          <a:pathLst>
                            <a:path w="6120001" h="304800">
                              <a:moveTo>
                                <a:pt x="0" y="0"/>
                              </a:moveTo>
                              <a:lnTo>
                                <a:pt x="6120001" y="0"/>
                              </a:lnTo>
                              <a:lnTo>
                                <a:pt x="6120001" y="304800"/>
                              </a:lnTo>
                              <a:lnTo>
                                <a:pt x="0" y="304800"/>
                              </a:lnTo>
                              <a:lnTo>
                                <a:pt x="0" y="0"/>
                              </a:lnTo>
                            </a:path>
                          </a:pathLst>
                        </a:custGeom>
                        <a:ln w="0" cap="flat">
                          <a:miter lim="127000"/>
                        </a:ln>
                      </wps:spPr>
                      <wps:style>
                        <a:lnRef idx="0">
                          <a:srgbClr val="000000">
                            <a:alpha val="0"/>
                          </a:srgbClr>
                        </a:lnRef>
                        <a:fillRef idx="1">
                          <a:srgbClr val="0B3C5D"/>
                        </a:fillRef>
                        <a:effectRef idx="0">
                          <a:scrgbClr r="0" g="0" b="0"/>
                        </a:effectRef>
                        <a:fontRef idx="none"/>
                      </wps:style>
                      <wps:bodyPr/>
                    </wps:wsp>
                  </wpg:wgp>
                </a:graphicData>
              </a:graphic>
            </wp:anchor>
          </w:drawing>
        </mc:Choice>
        <mc:Fallback xmlns:a="http://schemas.openxmlformats.org/drawingml/2006/main">
          <w:pict>
            <v:group id="Group 6556" style="width:481.89pt;height:24pt;position:absolute;mso-position-horizontal-relative:page;mso-position-horizontal:absolute;margin-left:56.6929pt;mso-position-vertical-relative:page;margin-top:42.8503pt;" coordsize="61200,3048">
              <v:shape id="Shape 6976" style="position:absolute;width:61200;height:3048;left:0;top:0;" coordsize="6120001,304800" path="m0,0l6120001,0l6120001,304800l0,304800l0,0">
                <v:stroke weight="0pt" endcap="flat" joinstyle="miter" miterlimit="10" on="false" color="#000000" opacity="0"/>
                <v:fill on="true" color="#0b3c5d"/>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59B9" w14:textId="77777777" w:rsidR="00DE0C06" w:rsidRDefault="00DE0C06">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8AD0" w14:textId="77777777" w:rsidR="00DE0C06" w:rsidRDefault="00DE0C06">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8C56" w14:textId="77777777" w:rsidR="00DE0C06" w:rsidRDefault="00DE0C06">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EC93" w14:textId="77777777" w:rsidR="00DE0C06" w:rsidRDefault="00DE0C06">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EC3C" w14:textId="77777777" w:rsidR="00DE0C06" w:rsidRDefault="00DE0C06">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34F2" w14:textId="77777777" w:rsidR="00DE0C06" w:rsidRDefault="007C211D">
    <w:pPr>
      <w:ind w:left="-1027" w:right="107"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60BD790" wp14:editId="0F595634">
              <wp:simplePos x="0" y="0"/>
              <wp:positionH relativeFrom="page">
                <wp:posOffset>720000</wp:posOffset>
              </wp:positionH>
              <wp:positionV relativeFrom="page">
                <wp:posOffset>544199</wp:posOffset>
              </wp:positionV>
              <wp:extent cx="6120001" cy="304800"/>
              <wp:effectExtent l="0" t="0" r="0" b="0"/>
              <wp:wrapSquare wrapText="bothSides"/>
              <wp:docPr id="6579" name="Group 6579"/>
              <wp:cNvGraphicFramePr/>
              <a:graphic xmlns:a="http://schemas.openxmlformats.org/drawingml/2006/main">
                <a:graphicData uri="http://schemas.microsoft.com/office/word/2010/wordprocessingGroup">
                  <wpg:wgp>
                    <wpg:cNvGrpSpPr/>
                    <wpg:grpSpPr>
                      <a:xfrm>
                        <a:off x="0" y="0"/>
                        <a:ext cx="6120001" cy="304800"/>
                        <a:chOff x="0" y="0"/>
                        <a:chExt cx="6120001" cy="304800"/>
                      </a:xfrm>
                    </wpg:grpSpPr>
                    <wps:wsp>
                      <wps:cNvPr id="6981" name="Shape 6981"/>
                      <wps:cNvSpPr/>
                      <wps:spPr>
                        <a:xfrm>
                          <a:off x="0" y="0"/>
                          <a:ext cx="6120001" cy="304800"/>
                        </a:xfrm>
                        <a:custGeom>
                          <a:avLst/>
                          <a:gdLst/>
                          <a:ahLst/>
                          <a:cxnLst/>
                          <a:rect l="0" t="0" r="0" b="0"/>
                          <a:pathLst>
                            <a:path w="6120001" h="304800">
                              <a:moveTo>
                                <a:pt x="0" y="0"/>
                              </a:moveTo>
                              <a:lnTo>
                                <a:pt x="6120001" y="0"/>
                              </a:lnTo>
                              <a:lnTo>
                                <a:pt x="6120001" y="304800"/>
                              </a:lnTo>
                              <a:lnTo>
                                <a:pt x="0" y="304800"/>
                              </a:lnTo>
                              <a:lnTo>
                                <a:pt x="0" y="0"/>
                              </a:lnTo>
                            </a:path>
                          </a:pathLst>
                        </a:custGeom>
                        <a:ln w="0" cap="flat">
                          <a:miter lim="127000"/>
                        </a:ln>
                      </wps:spPr>
                      <wps:style>
                        <a:lnRef idx="0">
                          <a:srgbClr val="000000">
                            <a:alpha val="0"/>
                          </a:srgbClr>
                        </a:lnRef>
                        <a:fillRef idx="1">
                          <a:srgbClr val="0B3C5D"/>
                        </a:fillRef>
                        <a:effectRef idx="0">
                          <a:scrgbClr r="0" g="0" b="0"/>
                        </a:effectRef>
                        <a:fontRef idx="none"/>
                      </wps:style>
                      <wps:bodyPr/>
                    </wps:wsp>
                  </wpg:wgp>
                </a:graphicData>
              </a:graphic>
            </wp:anchor>
          </w:drawing>
        </mc:Choice>
        <mc:Fallback xmlns:a="http://schemas.openxmlformats.org/drawingml/2006/main">
          <w:pict>
            <v:group id="Group 6579" style="width:481.89pt;height:24pt;position:absolute;mso-position-horizontal-relative:page;mso-position-horizontal:absolute;margin-left:56.6929pt;mso-position-vertical-relative:page;margin-top:42.8503pt;" coordsize="61200,3048">
              <v:shape id="Shape 6982" style="position:absolute;width:61200;height:3048;left:0;top:0;" coordsize="6120001,304800" path="m0,0l6120001,0l6120001,304800l0,304800l0,0">
                <v:stroke weight="0pt" endcap="flat" joinstyle="miter" miterlimit="10" on="false" color="#000000" opacity="0"/>
                <v:fill on="true" color="#0b3c5d"/>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8059" w14:textId="77777777" w:rsidR="00DE0C06" w:rsidRDefault="007C211D">
    <w:pPr>
      <w:ind w:left="-1027" w:right="107"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14CC6C7" wp14:editId="2972C1D8">
              <wp:simplePos x="0" y="0"/>
              <wp:positionH relativeFrom="page">
                <wp:posOffset>720000</wp:posOffset>
              </wp:positionH>
              <wp:positionV relativeFrom="page">
                <wp:posOffset>544199</wp:posOffset>
              </wp:positionV>
              <wp:extent cx="6120001" cy="304800"/>
              <wp:effectExtent l="0" t="0" r="0" b="0"/>
              <wp:wrapSquare wrapText="bothSides"/>
              <wp:docPr id="6573" name="Group 6573"/>
              <wp:cNvGraphicFramePr/>
              <a:graphic xmlns:a="http://schemas.openxmlformats.org/drawingml/2006/main">
                <a:graphicData uri="http://schemas.microsoft.com/office/word/2010/wordprocessingGroup">
                  <wpg:wgp>
                    <wpg:cNvGrpSpPr/>
                    <wpg:grpSpPr>
                      <a:xfrm>
                        <a:off x="0" y="0"/>
                        <a:ext cx="6120001" cy="304800"/>
                        <a:chOff x="0" y="0"/>
                        <a:chExt cx="6120001" cy="304800"/>
                      </a:xfrm>
                    </wpg:grpSpPr>
                    <wps:wsp>
                      <wps:cNvPr id="6979" name="Shape 6979"/>
                      <wps:cNvSpPr/>
                      <wps:spPr>
                        <a:xfrm>
                          <a:off x="0" y="0"/>
                          <a:ext cx="6120001" cy="304800"/>
                        </a:xfrm>
                        <a:custGeom>
                          <a:avLst/>
                          <a:gdLst/>
                          <a:ahLst/>
                          <a:cxnLst/>
                          <a:rect l="0" t="0" r="0" b="0"/>
                          <a:pathLst>
                            <a:path w="6120001" h="304800">
                              <a:moveTo>
                                <a:pt x="0" y="0"/>
                              </a:moveTo>
                              <a:lnTo>
                                <a:pt x="6120001" y="0"/>
                              </a:lnTo>
                              <a:lnTo>
                                <a:pt x="6120001" y="304800"/>
                              </a:lnTo>
                              <a:lnTo>
                                <a:pt x="0" y="304800"/>
                              </a:lnTo>
                              <a:lnTo>
                                <a:pt x="0" y="0"/>
                              </a:lnTo>
                            </a:path>
                          </a:pathLst>
                        </a:custGeom>
                        <a:ln w="0" cap="flat">
                          <a:miter lim="127000"/>
                        </a:ln>
                      </wps:spPr>
                      <wps:style>
                        <a:lnRef idx="0">
                          <a:srgbClr val="000000">
                            <a:alpha val="0"/>
                          </a:srgbClr>
                        </a:lnRef>
                        <a:fillRef idx="1">
                          <a:srgbClr val="0B3C5D"/>
                        </a:fillRef>
                        <a:effectRef idx="0">
                          <a:scrgbClr r="0" g="0" b="0"/>
                        </a:effectRef>
                        <a:fontRef idx="none"/>
                      </wps:style>
                      <wps:bodyPr/>
                    </wps:wsp>
                  </wpg:wgp>
                </a:graphicData>
              </a:graphic>
            </wp:anchor>
          </w:drawing>
        </mc:Choice>
        <mc:Fallback xmlns:a="http://schemas.openxmlformats.org/drawingml/2006/main">
          <w:pict>
            <v:group id="Group 6573" style="width:481.89pt;height:24pt;position:absolute;mso-position-horizontal-relative:page;mso-position-horizontal:absolute;margin-left:56.6929pt;mso-position-vertical-relative:page;margin-top:42.8503pt;" coordsize="61200,3048">
              <v:shape id="Shape 6980" style="position:absolute;width:61200;height:3048;left:0;top:0;" coordsize="6120001,304800" path="m0,0l6120001,0l6120001,304800l0,304800l0,0">
                <v:stroke weight="0pt" endcap="flat" joinstyle="miter" miterlimit="10" on="false" color="#000000" opacity="0"/>
                <v:fill on="true" color="#0b3c5d"/>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3A7" w14:textId="77777777" w:rsidR="00DE0C06" w:rsidRDefault="007C211D">
    <w:pPr>
      <w:ind w:left="-1027" w:right="107"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283578F" wp14:editId="73C2C57D">
              <wp:simplePos x="0" y="0"/>
              <wp:positionH relativeFrom="page">
                <wp:posOffset>720000</wp:posOffset>
              </wp:positionH>
              <wp:positionV relativeFrom="page">
                <wp:posOffset>544199</wp:posOffset>
              </wp:positionV>
              <wp:extent cx="6120001" cy="304800"/>
              <wp:effectExtent l="0" t="0" r="0" b="0"/>
              <wp:wrapSquare wrapText="bothSides"/>
              <wp:docPr id="6567" name="Group 6567"/>
              <wp:cNvGraphicFramePr/>
              <a:graphic xmlns:a="http://schemas.openxmlformats.org/drawingml/2006/main">
                <a:graphicData uri="http://schemas.microsoft.com/office/word/2010/wordprocessingGroup">
                  <wpg:wgp>
                    <wpg:cNvGrpSpPr/>
                    <wpg:grpSpPr>
                      <a:xfrm>
                        <a:off x="0" y="0"/>
                        <a:ext cx="6120001" cy="304800"/>
                        <a:chOff x="0" y="0"/>
                        <a:chExt cx="6120001" cy="304800"/>
                      </a:xfrm>
                    </wpg:grpSpPr>
                    <wps:wsp>
                      <wps:cNvPr id="6977" name="Shape 6977"/>
                      <wps:cNvSpPr/>
                      <wps:spPr>
                        <a:xfrm>
                          <a:off x="0" y="0"/>
                          <a:ext cx="6120001" cy="304800"/>
                        </a:xfrm>
                        <a:custGeom>
                          <a:avLst/>
                          <a:gdLst/>
                          <a:ahLst/>
                          <a:cxnLst/>
                          <a:rect l="0" t="0" r="0" b="0"/>
                          <a:pathLst>
                            <a:path w="6120001" h="304800">
                              <a:moveTo>
                                <a:pt x="0" y="0"/>
                              </a:moveTo>
                              <a:lnTo>
                                <a:pt x="6120001" y="0"/>
                              </a:lnTo>
                              <a:lnTo>
                                <a:pt x="6120001" y="304800"/>
                              </a:lnTo>
                              <a:lnTo>
                                <a:pt x="0" y="304800"/>
                              </a:lnTo>
                              <a:lnTo>
                                <a:pt x="0" y="0"/>
                              </a:lnTo>
                            </a:path>
                          </a:pathLst>
                        </a:custGeom>
                        <a:ln w="0" cap="flat">
                          <a:miter lim="127000"/>
                        </a:ln>
                      </wps:spPr>
                      <wps:style>
                        <a:lnRef idx="0">
                          <a:srgbClr val="000000">
                            <a:alpha val="0"/>
                          </a:srgbClr>
                        </a:lnRef>
                        <a:fillRef idx="1">
                          <a:srgbClr val="0B3C5D"/>
                        </a:fillRef>
                        <a:effectRef idx="0">
                          <a:scrgbClr r="0" g="0" b="0"/>
                        </a:effectRef>
                        <a:fontRef idx="none"/>
                      </wps:style>
                      <wps:bodyPr/>
                    </wps:wsp>
                  </wpg:wgp>
                </a:graphicData>
              </a:graphic>
            </wp:anchor>
          </w:drawing>
        </mc:Choice>
        <mc:Fallback xmlns:a="http://schemas.openxmlformats.org/drawingml/2006/main">
          <w:pict>
            <v:group id="Group 6567" style="width:481.89pt;height:24pt;position:absolute;mso-position-horizontal-relative:page;mso-position-horizontal:absolute;margin-left:56.6929pt;mso-position-vertical-relative:page;margin-top:42.8503pt;" coordsize="61200,3048">
              <v:shape id="Shape 6978" style="position:absolute;width:61200;height:3048;left:0;top:0;" coordsize="6120001,304800" path="m0,0l6120001,0l6120001,304800l0,304800l0,0">
                <v:stroke weight="0pt" endcap="flat" joinstyle="miter" miterlimit="10" on="false" color="#000000" opacity="0"/>
                <v:fill on="true" color="#0b3c5d"/>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13B3" w14:textId="77777777" w:rsidR="00DE0C06" w:rsidRDefault="00DE0C06">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B57D" w14:textId="77777777" w:rsidR="00DE0C06" w:rsidRDefault="00DE0C06">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2991" w14:textId="77777777" w:rsidR="00DE0C06" w:rsidRDefault="00DE0C06">
    <w:pPr>
      <w:spacing w:after="160"/>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C06"/>
    <w:rsid w:val="007C211D"/>
    <w:rsid w:val="00C35A18"/>
    <w:rsid w:val="00DE0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044D"/>
  <w15:docId w15:val="{9B287F61-F828-43FE-BCA1-3C719B4A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4" w:line="259" w:lineRule="auto"/>
      <w:ind w:left="277" w:hanging="10"/>
      <w:outlineLvl w:val="0"/>
    </w:pPr>
    <w:rPr>
      <w:rFonts w:ascii="Arial" w:eastAsia="Arial" w:hAnsi="Arial" w:cs="Arial"/>
      <w:color w:val="FFFFFF"/>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FFFFFF"/>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8.xml"/><Relationship Id="rId3" Type="http://schemas.openxmlformats.org/officeDocument/2006/relationships/webSettings" Target="webSettings.xml"/><Relationship Id="rId21" Type="http://schemas.openxmlformats.org/officeDocument/2006/relationships/header" Target="header11.xml"/><Relationship Id="rId7" Type="http://schemas.openxmlformats.org/officeDocument/2006/relationships/image" Target="media/image2.jpg"/><Relationship Id="rId12" Type="http://schemas.openxmlformats.org/officeDocument/2006/relationships/header" Target="header4.xml"/><Relationship Id="rId17" Type="http://schemas.openxmlformats.org/officeDocument/2006/relationships/header" Target="header7.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header" Target="header10.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9.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Xavier Davis</cp:lastModifiedBy>
  <cp:revision>2</cp:revision>
  <dcterms:created xsi:type="dcterms:W3CDTF">2025-11-06T16:03:00Z</dcterms:created>
  <dcterms:modified xsi:type="dcterms:W3CDTF">2025-11-06T16:03:00Z</dcterms:modified>
</cp:coreProperties>
</file>